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附件1</w:t>
      </w:r>
    </w:p>
    <w:p>
      <w:pPr>
        <w:widowControl/>
        <w:spacing w:line="50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天津市滨海新区泰达街办事处全国健康促进区创建工作评分和任务分解表</w:t>
      </w:r>
    </w:p>
    <w:p>
      <w:pPr>
        <w:widowControl/>
        <w:spacing w:line="500" w:lineRule="exact"/>
        <w:jc w:val="center"/>
        <w:rPr>
          <w:rFonts w:ascii="宋体"/>
          <w:color w:val="000000"/>
          <w:sz w:val="28"/>
          <w:szCs w:val="28"/>
        </w:rPr>
      </w:pPr>
      <w:r>
        <w:rPr>
          <w:rFonts w:hint="eastAsia" w:ascii="宋体" w:hAnsi="宋体" w:cs="宋体"/>
          <w:b/>
          <w:bCs/>
          <w:color w:val="000000"/>
          <w:kern w:val="0"/>
          <w:sz w:val="28"/>
          <w:szCs w:val="28"/>
        </w:rPr>
        <w:t>(项目指标取自全国标准,各部门依据具体职责确认分工、允许自然缺项)</w:t>
      </w:r>
    </w:p>
    <w:tbl>
      <w:tblPr>
        <w:tblStyle w:val="34"/>
        <w:tblW w:w="13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275"/>
        <w:gridCol w:w="3121"/>
        <w:gridCol w:w="992"/>
        <w:gridCol w:w="2977"/>
        <w:gridCol w:w="950"/>
        <w:gridCol w:w="16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56" w:type="dxa"/>
            <w:vAlign w:val="center"/>
          </w:tcPr>
          <w:p>
            <w:pPr>
              <w:widowControl/>
              <w:jc w:val="center"/>
              <w:rPr>
                <w:rFonts w:ascii="宋体"/>
                <w:b/>
                <w:bCs/>
                <w:color w:val="000000"/>
                <w:kern w:val="0"/>
                <w:szCs w:val="21"/>
              </w:rPr>
            </w:pPr>
            <w:r>
              <w:rPr>
                <w:rFonts w:hint="eastAsia" w:ascii="宋体" w:hAnsi="宋体" w:cs="宋体"/>
                <w:b/>
                <w:bCs/>
                <w:color w:val="000000"/>
                <w:kern w:val="0"/>
                <w:szCs w:val="21"/>
              </w:rPr>
              <w:t>一级指标</w:t>
            </w:r>
          </w:p>
        </w:tc>
        <w:tc>
          <w:tcPr>
            <w:tcW w:w="1275" w:type="dxa"/>
            <w:vAlign w:val="center"/>
          </w:tcPr>
          <w:p>
            <w:pPr>
              <w:widowControl/>
              <w:jc w:val="center"/>
              <w:rPr>
                <w:rFonts w:ascii="宋体"/>
                <w:b/>
                <w:bCs/>
                <w:color w:val="000000"/>
                <w:kern w:val="0"/>
                <w:szCs w:val="21"/>
              </w:rPr>
            </w:pPr>
            <w:r>
              <w:rPr>
                <w:rFonts w:hint="eastAsia" w:ascii="宋体" w:hAnsi="宋体" w:cs="宋体"/>
                <w:b/>
                <w:bCs/>
                <w:color w:val="000000"/>
                <w:kern w:val="0"/>
                <w:szCs w:val="21"/>
              </w:rPr>
              <w:t>二级指标</w:t>
            </w:r>
          </w:p>
        </w:tc>
        <w:tc>
          <w:tcPr>
            <w:tcW w:w="3121" w:type="dxa"/>
            <w:vAlign w:val="center"/>
          </w:tcPr>
          <w:p>
            <w:pPr>
              <w:widowControl/>
              <w:jc w:val="center"/>
              <w:rPr>
                <w:rFonts w:ascii="宋体"/>
                <w:b/>
                <w:bCs/>
                <w:color w:val="000000"/>
                <w:kern w:val="0"/>
                <w:szCs w:val="21"/>
              </w:rPr>
            </w:pPr>
            <w:r>
              <w:rPr>
                <w:rFonts w:hint="eastAsia" w:ascii="宋体" w:hAnsi="宋体" w:cs="宋体"/>
                <w:b/>
                <w:bCs/>
                <w:color w:val="000000"/>
                <w:kern w:val="0"/>
                <w:szCs w:val="21"/>
              </w:rPr>
              <w:t>指标解释</w:t>
            </w:r>
          </w:p>
        </w:tc>
        <w:tc>
          <w:tcPr>
            <w:tcW w:w="992"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权重</w:t>
            </w:r>
            <w:r>
              <w:rPr>
                <w:rFonts w:ascii="宋体" w:hAnsi="宋体" w:cs="宋体"/>
                <w:b/>
                <w:bCs/>
                <w:color w:val="000000"/>
                <w:kern w:val="0"/>
                <w:szCs w:val="21"/>
              </w:rPr>
              <w:t>(</w:t>
            </w:r>
            <w:r>
              <w:rPr>
                <w:rFonts w:hint="eastAsia" w:ascii="宋体" w:hAnsi="宋体" w:cs="宋体"/>
                <w:b/>
                <w:bCs/>
                <w:color w:val="000000"/>
                <w:kern w:val="0"/>
                <w:szCs w:val="21"/>
              </w:rPr>
              <w:t>分</w:t>
            </w:r>
            <w:r>
              <w:rPr>
                <w:rFonts w:ascii="宋体" w:hAnsi="宋体" w:cs="宋体"/>
                <w:b/>
                <w:bCs/>
                <w:color w:val="000000"/>
                <w:kern w:val="0"/>
                <w:szCs w:val="21"/>
              </w:rPr>
              <w:t>)</w:t>
            </w:r>
          </w:p>
        </w:tc>
        <w:tc>
          <w:tcPr>
            <w:tcW w:w="2977" w:type="dxa"/>
            <w:vAlign w:val="center"/>
          </w:tcPr>
          <w:p>
            <w:pPr>
              <w:widowControl/>
              <w:jc w:val="center"/>
              <w:rPr>
                <w:rFonts w:ascii="宋体"/>
                <w:b/>
                <w:bCs/>
                <w:color w:val="000000"/>
                <w:kern w:val="0"/>
                <w:szCs w:val="21"/>
              </w:rPr>
            </w:pPr>
            <w:r>
              <w:rPr>
                <w:rFonts w:hint="eastAsia" w:ascii="宋体" w:hAnsi="宋体" w:cs="宋体"/>
                <w:b/>
                <w:bCs/>
                <w:color w:val="000000"/>
                <w:kern w:val="0"/>
                <w:szCs w:val="21"/>
              </w:rPr>
              <w:t>评分标准</w:t>
            </w:r>
          </w:p>
        </w:tc>
        <w:tc>
          <w:tcPr>
            <w:tcW w:w="950"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权重</w:t>
            </w:r>
            <w:r>
              <w:rPr>
                <w:rFonts w:ascii="宋体" w:hAnsi="宋体" w:cs="宋体"/>
                <w:b/>
                <w:bCs/>
                <w:color w:val="000000"/>
                <w:kern w:val="0"/>
                <w:szCs w:val="21"/>
              </w:rPr>
              <w:t>(</w:t>
            </w:r>
            <w:r>
              <w:rPr>
                <w:rFonts w:hint="eastAsia" w:ascii="宋体" w:hAnsi="宋体" w:cs="宋体"/>
                <w:b/>
                <w:bCs/>
                <w:color w:val="000000"/>
                <w:kern w:val="0"/>
                <w:szCs w:val="21"/>
              </w:rPr>
              <w:t>分</w:t>
            </w:r>
            <w:r>
              <w:rPr>
                <w:rFonts w:ascii="宋体" w:hAnsi="宋体" w:cs="宋体"/>
                <w:b/>
                <w:bCs/>
                <w:color w:val="000000"/>
                <w:kern w:val="0"/>
                <w:szCs w:val="21"/>
              </w:rPr>
              <w:t>)</w:t>
            </w:r>
          </w:p>
        </w:tc>
        <w:tc>
          <w:tcPr>
            <w:tcW w:w="1627" w:type="dxa"/>
            <w:vAlign w:val="center"/>
          </w:tcPr>
          <w:p>
            <w:pPr>
              <w:widowControl/>
              <w:jc w:val="center"/>
              <w:rPr>
                <w:rFonts w:ascii="宋体"/>
                <w:b/>
                <w:bCs/>
                <w:color w:val="000000"/>
                <w:kern w:val="0"/>
                <w:szCs w:val="21"/>
              </w:rPr>
            </w:pPr>
            <w:r>
              <w:rPr>
                <w:rFonts w:hint="eastAsia" w:ascii="宋体" w:hAnsi="宋体" w:cs="宋体"/>
                <w:b/>
                <w:bCs/>
                <w:color w:val="000000"/>
                <w:kern w:val="0"/>
                <w:szCs w:val="21"/>
              </w:rPr>
              <w:t>牵头单位</w:t>
            </w:r>
          </w:p>
        </w:tc>
        <w:tc>
          <w:tcPr>
            <w:tcW w:w="1559" w:type="dxa"/>
            <w:vAlign w:val="center"/>
          </w:tcPr>
          <w:p>
            <w:pPr>
              <w:widowControl/>
              <w:jc w:val="center"/>
              <w:rPr>
                <w:rFonts w:ascii="宋体"/>
                <w:b/>
                <w:bCs/>
                <w:color w:val="000000"/>
                <w:kern w:val="0"/>
                <w:sz w:val="22"/>
                <w:szCs w:val="21"/>
              </w:rPr>
            </w:pPr>
            <w:r>
              <w:rPr>
                <w:rFonts w:hint="eastAsia" w:ascii="宋体" w:hAnsi="宋体" w:cs="宋体"/>
                <w:b/>
                <w:bCs/>
                <w:color w:val="000000"/>
                <w:kern w:val="0"/>
                <w:sz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restart"/>
            <w:vAlign w:val="center"/>
          </w:tcPr>
          <w:p>
            <w:pPr>
              <w:widowControl/>
              <w:jc w:val="center"/>
              <w:rPr>
                <w:rFonts w:ascii="宋体"/>
                <w:color w:val="000000"/>
                <w:kern w:val="0"/>
                <w:szCs w:val="21"/>
              </w:rPr>
            </w:pPr>
            <w:r>
              <w:rPr>
                <w:rFonts w:hint="eastAsia" w:ascii="宋体" w:hAnsi="宋体" w:cs="宋体"/>
                <w:color w:val="000000"/>
                <w:kern w:val="0"/>
                <w:szCs w:val="21"/>
              </w:rPr>
              <w:t>一、组织管理</w:t>
            </w:r>
            <w:r>
              <w:rPr>
                <w:rFonts w:ascii="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160</w:t>
            </w:r>
            <w:r>
              <w:rPr>
                <w:rFonts w:hint="eastAsia" w:ascii="宋体" w:hAnsi="宋体" w:cs="宋体"/>
                <w:color w:val="000000"/>
                <w:kern w:val="0"/>
                <w:szCs w:val="21"/>
              </w:rPr>
              <w:t>分）</w:t>
            </w: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政府承诺</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县（区、市）政府公开承诺开展健康促进县（区）工作，将健康促进县（区）建设纳入政府重点工作。</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）县（区、市）政府公开承诺，得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b/>
                <w:bCs/>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党政办</w:t>
            </w:r>
          </w:p>
        </w:tc>
        <w:tc>
          <w:tcPr>
            <w:tcW w:w="1559"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健康办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）纳入政府重点工作（如纳入政府工作报告、发展规划等），得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hAnsi="宋体"/>
                <w:color w:val="000000"/>
                <w:kern w:val="0"/>
                <w:szCs w:val="21"/>
              </w:rPr>
            </w:pPr>
          </w:p>
        </w:tc>
        <w:tc>
          <w:tcPr>
            <w:tcW w:w="1559" w:type="dxa"/>
            <w:vMerge w:val="continue"/>
            <w:vAlign w:val="center"/>
          </w:tcPr>
          <w:p>
            <w:pPr>
              <w:widowControl/>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协调机制</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建立区县政府主要负责人牵头、多部门参与的健康促进领导协调机制，部门职责明确。定期召开协调会议，通报工作进展。</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）县（区</w:t>
            </w:r>
            <w:r>
              <w:rPr>
                <w:rFonts w:ascii="宋体" w:hAnsi="宋体" w:cs="宋体"/>
                <w:color w:val="000000"/>
                <w:kern w:val="0"/>
                <w:szCs w:val="21"/>
              </w:rPr>
              <w:t>/</w:t>
            </w:r>
            <w:r>
              <w:rPr>
                <w:rFonts w:hint="eastAsia" w:ascii="宋体" w:hAnsi="宋体" w:cs="宋体"/>
                <w:color w:val="000000"/>
                <w:kern w:val="0"/>
                <w:szCs w:val="21"/>
              </w:rPr>
              <w:t>市）长任组长得</w:t>
            </w:r>
            <w:r>
              <w:rPr>
                <w:rFonts w:ascii="宋体" w:hAnsi="宋体" w:cs="宋体"/>
                <w:color w:val="000000"/>
                <w:kern w:val="0"/>
                <w:szCs w:val="21"/>
              </w:rPr>
              <w:t>10</w:t>
            </w:r>
            <w:r>
              <w:rPr>
                <w:rFonts w:hint="eastAsia" w:ascii="宋体" w:hAnsi="宋体" w:cs="宋体"/>
                <w:color w:val="000000"/>
                <w:kern w:val="0"/>
                <w:szCs w:val="21"/>
              </w:rPr>
              <w:t>分，分管县（区</w:t>
            </w:r>
            <w:r>
              <w:rPr>
                <w:rFonts w:ascii="宋体" w:hAnsi="宋体" w:cs="宋体"/>
                <w:color w:val="000000"/>
                <w:kern w:val="0"/>
                <w:szCs w:val="21"/>
              </w:rPr>
              <w:t>/</w:t>
            </w:r>
            <w:r>
              <w:rPr>
                <w:rFonts w:hint="eastAsia" w:ascii="宋体" w:hAnsi="宋体" w:cs="宋体"/>
                <w:color w:val="000000"/>
                <w:kern w:val="0"/>
                <w:szCs w:val="21"/>
              </w:rPr>
              <w:t>市）长任组长得</w:t>
            </w:r>
            <w:r>
              <w:rPr>
                <w:rFonts w:ascii="宋体" w:hAnsi="宋体" w:cs="宋体"/>
                <w:color w:val="000000"/>
                <w:kern w:val="0"/>
                <w:szCs w:val="21"/>
              </w:rPr>
              <w:t>8</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rPr>
                <w:rFonts w:ascii="宋体" w:hAnsi="宋体" w:cs="宋体"/>
                <w:color w:val="000000"/>
                <w:kern w:val="0"/>
                <w:szCs w:val="21"/>
              </w:rPr>
            </w:pPr>
            <w:r>
              <w:rPr>
                <w:rFonts w:hint="eastAsia" w:ascii="宋体" w:hAnsi="宋体" w:cs="仿宋_GB2312"/>
                <w:color w:val="000000"/>
                <w:kern w:val="0"/>
                <w:szCs w:val="21"/>
              </w:rPr>
              <w:t xml:space="preserve">    党政办</w:t>
            </w:r>
          </w:p>
          <w:p>
            <w:pPr>
              <w:widowControl/>
              <w:jc w:val="center"/>
              <w:rPr>
                <w:rFonts w:ascii="宋体" w:hAnsi="宋体"/>
                <w:color w:val="000000"/>
                <w:kern w:val="0"/>
                <w:szCs w:val="21"/>
              </w:rPr>
            </w:pPr>
          </w:p>
        </w:tc>
        <w:tc>
          <w:tcPr>
            <w:tcW w:w="1559" w:type="dxa"/>
            <w:vMerge w:val="restart"/>
            <w:vAlign w:val="center"/>
          </w:tcPr>
          <w:p>
            <w:pPr>
              <w:widowControl/>
              <w:rPr>
                <w:rFonts w:ascii="宋体" w:hAnsi="宋体"/>
                <w:color w:val="000000"/>
                <w:kern w:val="0"/>
                <w:szCs w:val="21"/>
              </w:rPr>
            </w:pPr>
            <w:r>
              <w:rPr>
                <w:rFonts w:hint="eastAsia" w:ascii="宋体" w:hAnsi="宋体" w:cs="仿宋_GB2312"/>
                <w:color w:val="000000"/>
                <w:kern w:val="0"/>
                <w:szCs w:val="21"/>
              </w:rPr>
              <w:t xml:space="preserve">  健康办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）每召开</w:t>
            </w:r>
            <w:r>
              <w:rPr>
                <w:rFonts w:ascii="宋体" w:hAnsi="宋体" w:cs="宋体"/>
                <w:color w:val="000000"/>
                <w:kern w:val="0"/>
                <w:szCs w:val="21"/>
              </w:rPr>
              <w:t>1</w:t>
            </w:r>
            <w:r>
              <w:rPr>
                <w:rFonts w:hint="eastAsia" w:ascii="宋体" w:hAnsi="宋体" w:cs="宋体"/>
                <w:color w:val="000000"/>
                <w:kern w:val="0"/>
                <w:szCs w:val="21"/>
              </w:rPr>
              <w:t>次领导协调会议得</w:t>
            </w:r>
            <w:r>
              <w:rPr>
                <w:rFonts w:ascii="宋体" w:hAnsi="宋体" w:cs="宋体"/>
                <w:color w:val="000000"/>
                <w:kern w:val="0"/>
                <w:szCs w:val="21"/>
              </w:rPr>
              <w:t>2.5</w:t>
            </w:r>
            <w:r>
              <w:rPr>
                <w:rFonts w:hint="eastAsia" w:ascii="宋体" w:hAnsi="宋体" w:cs="宋体"/>
                <w:color w:val="000000"/>
                <w:kern w:val="0"/>
                <w:szCs w:val="21"/>
              </w:rPr>
              <w:t>分，两年不超过</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hAns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工作网络</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建立覆盖政府有关组成部门、乡镇</w:t>
            </w:r>
            <w:r>
              <w:rPr>
                <w:rFonts w:ascii="宋体" w:hAnsi="宋体" w:cs="宋体"/>
                <w:color w:val="000000"/>
                <w:kern w:val="0"/>
                <w:szCs w:val="21"/>
              </w:rPr>
              <w:t>/</w:t>
            </w:r>
            <w:r>
              <w:rPr>
                <w:rFonts w:hint="eastAsia" w:ascii="宋体" w:hAnsi="宋体" w:cs="宋体"/>
                <w:color w:val="000000"/>
                <w:kern w:val="0"/>
                <w:szCs w:val="21"/>
              </w:rPr>
              <w:t>街道、学校、机关、企业的健康促进工作网络。每单位专（兼）职人员承担健康促进与健康教育工作。培训覆盖率达</w:t>
            </w:r>
            <w:r>
              <w:rPr>
                <w:rFonts w:ascii="宋体" w:hAnsi="宋体" w:cs="宋体"/>
                <w:color w:val="000000"/>
                <w:kern w:val="0"/>
                <w:szCs w:val="21"/>
              </w:rPr>
              <w:t>100%</w:t>
            </w:r>
            <w:r>
              <w:rPr>
                <w:rFonts w:hint="eastAsia" w:ascii="宋体" w:hAnsi="宋体" w:cs="宋体"/>
                <w:color w:val="000000"/>
                <w:kern w:val="0"/>
                <w:szCs w:val="21"/>
              </w:rPr>
              <w:t>。</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）查阅机构数量和工作网络人员名单。网络覆盖率</w:t>
            </w:r>
            <w:r>
              <w:rPr>
                <w:rFonts w:ascii="宋体" w:hAnsi="宋体" w:cs="宋体"/>
                <w:color w:val="000000"/>
                <w:kern w:val="0"/>
                <w:szCs w:val="21"/>
              </w:rPr>
              <w:t>100%</w:t>
            </w:r>
            <w:r>
              <w:rPr>
                <w:rFonts w:hint="eastAsia" w:ascii="宋体" w:hAnsi="宋体" w:cs="宋体"/>
                <w:color w:val="000000"/>
                <w:kern w:val="0"/>
                <w:szCs w:val="21"/>
              </w:rPr>
              <w:t>得</w:t>
            </w:r>
            <w:r>
              <w:rPr>
                <w:rFonts w:ascii="宋体" w:hAnsi="宋体" w:cs="宋体"/>
                <w:color w:val="000000"/>
                <w:kern w:val="0"/>
                <w:szCs w:val="21"/>
              </w:rPr>
              <w:t>10</w:t>
            </w:r>
            <w:r>
              <w:rPr>
                <w:rFonts w:hint="eastAsia" w:ascii="宋体" w:hAnsi="宋体" w:cs="宋体"/>
                <w:color w:val="000000"/>
                <w:kern w:val="0"/>
                <w:szCs w:val="21"/>
              </w:rPr>
              <w:t>分、达</w:t>
            </w:r>
            <w:r>
              <w:rPr>
                <w:rFonts w:ascii="宋体" w:hAnsi="宋体" w:cs="宋体"/>
                <w:color w:val="000000"/>
                <w:kern w:val="0"/>
                <w:szCs w:val="21"/>
              </w:rPr>
              <w:t>50%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健康办</w:t>
            </w:r>
          </w:p>
        </w:tc>
        <w:tc>
          <w:tcPr>
            <w:tcW w:w="1559" w:type="dxa"/>
            <w:vMerge w:val="restart"/>
            <w:vAlign w:val="center"/>
          </w:tcPr>
          <w:p>
            <w:pPr>
              <w:widowControl/>
              <w:jc w:val="center"/>
              <w:rPr>
                <w:rFonts w:ascii="宋体" w:hAnsi="宋体"/>
                <w:color w:val="000000"/>
                <w:kern w:val="0"/>
                <w:sz w:val="18"/>
                <w:szCs w:val="18"/>
              </w:rPr>
            </w:pPr>
            <w:r>
              <w:rPr>
                <w:rFonts w:hint="eastAsia" w:ascii="宋体" w:hAnsi="宋体" w:cs="仿宋_GB2312"/>
                <w:color w:val="000000"/>
                <w:kern w:val="0"/>
                <w:sz w:val="18"/>
                <w:szCs w:val="18"/>
              </w:rPr>
              <w:t>泰达街各职能办公室、事业单位、社区、各单位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）查阅培训记录，培训覆盖率</w:t>
            </w:r>
            <w:r>
              <w:rPr>
                <w:rFonts w:ascii="宋体" w:hAnsi="宋体" w:cs="宋体"/>
                <w:color w:val="000000"/>
                <w:kern w:val="0"/>
                <w:szCs w:val="21"/>
              </w:rPr>
              <w:t>100%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分、达</w:t>
            </w:r>
            <w:r>
              <w:rPr>
                <w:rFonts w:ascii="宋体" w:hAnsi="宋体" w:cs="宋体"/>
                <w:color w:val="000000"/>
                <w:kern w:val="0"/>
                <w:szCs w:val="21"/>
              </w:rPr>
              <w:t>50%</w:t>
            </w:r>
            <w:r>
              <w:rPr>
                <w:rFonts w:hint="eastAsia" w:ascii="宋体" w:hAnsi="宋体" w:cs="宋体"/>
                <w:color w:val="000000"/>
                <w:kern w:val="0"/>
                <w:szCs w:val="21"/>
              </w:rPr>
              <w:t>得</w:t>
            </w:r>
            <w:r>
              <w:rPr>
                <w:rFonts w:ascii="宋体" w:hAnsi="宋体" w:cs="宋体"/>
                <w:color w:val="000000"/>
                <w:kern w:val="0"/>
                <w:szCs w:val="21"/>
              </w:rPr>
              <w:t>3</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专业机构</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县区级设置健康教育专业机构，健康教育专业机构人员配置率达到</w:t>
            </w:r>
            <w:r>
              <w:rPr>
                <w:rFonts w:ascii="宋体" w:hAnsi="宋体" w:cs="宋体"/>
                <w:color w:val="000000"/>
                <w:kern w:val="0"/>
                <w:szCs w:val="21"/>
              </w:rPr>
              <w:t>1.75</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）有独立建制的健康教育机构得</w:t>
            </w:r>
            <w:r>
              <w:rPr>
                <w:rFonts w:ascii="宋体" w:hAnsi="宋体" w:cs="宋体"/>
                <w:color w:val="000000"/>
                <w:kern w:val="0"/>
                <w:szCs w:val="21"/>
              </w:rPr>
              <w:t>5</w:t>
            </w:r>
            <w:r>
              <w:rPr>
                <w:rFonts w:hint="eastAsia" w:ascii="宋体" w:hAnsi="宋体" w:cs="宋体"/>
                <w:color w:val="000000"/>
                <w:kern w:val="0"/>
                <w:szCs w:val="21"/>
              </w:rPr>
              <w:t>分、在卫生计生委</w:t>
            </w:r>
            <w:r>
              <w:rPr>
                <w:rFonts w:ascii="宋体" w:hAnsi="宋体" w:cs="宋体"/>
                <w:color w:val="000000"/>
                <w:kern w:val="0"/>
                <w:szCs w:val="21"/>
              </w:rPr>
              <w:t>/</w:t>
            </w:r>
            <w:r>
              <w:rPr>
                <w:rFonts w:hint="eastAsia" w:ascii="宋体" w:hAnsi="宋体" w:cs="宋体"/>
                <w:color w:val="000000"/>
                <w:kern w:val="0"/>
                <w:szCs w:val="21"/>
              </w:rPr>
              <w:t>疾控中心有健康教育科得</w:t>
            </w:r>
            <w:r>
              <w:rPr>
                <w:rFonts w:ascii="宋体" w:hAnsi="宋体" w:cs="宋体"/>
                <w:color w:val="000000"/>
                <w:kern w:val="0"/>
                <w:szCs w:val="21"/>
              </w:rPr>
              <w:t>3</w:t>
            </w:r>
            <w:r>
              <w:rPr>
                <w:rFonts w:hint="eastAsia" w:ascii="宋体" w:hAnsi="宋体" w:cs="宋体"/>
                <w:color w:val="000000"/>
                <w:kern w:val="0"/>
                <w:szCs w:val="21"/>
              </w:rPr>
              <w:t>分、在卫生计生委或疾控中心无健康教育机构但有专人负责得</w:t>
            </w:r>
            <w:r>
              <w:rPr>
                <w:rFonts w:ascii="宋体" w:hAnsi="宋体" w:cs="宋体"/>
                <w:color w:val="000000"/>
                <w:kern w:val="0"/>
                <w:szCs w:val="21"/>
              </w:rPr>
              <w:t>1</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restart"/>
            <w:vAlign w:val="center"/>
          </w:tcPr>
          <w:p>
            <w:pPr>
              <w:widowControl/>
              <w:rPr>
                <w:rFonts w:ascii="宋体" w:hAnsi="宋体" w:cs="仿宋_GB2312"/>
                <w:color w:val="000000"/>
                <w:kern w:val="0"/>
                <w:szCs w:val="21"/>
              </w:rPr>
            </w:pPr>
            <w:r>
              <w:rPr>
                <w:rFonts w:hint="eastAsia" w:ascii="宋体" w:hAnsi="宋体" w:cs="仿宋_GB2312"/>
                <w:color w:val="000000"/>
                <w:kern w:val="0"/>
                <w:szCs w:val="21"/>
              </w:rPr>
              <w:t xml:space="preserve"> </w:t>
            </w:r>
          </w:p>
          <w:p>
            <w:pPr>
              <w:widowControl/>
              <w:rPr>
                <w:rFonts w:ascii="宋体" w:hAnsi="宋体" w:cs="宋体"/>
                <w:color w:val="000000"/>
                <w:kern w:val="0"/>
                <w:szCs w:val="21"/>
              </w:rPr>
            </w:pPr>
            <w:r>
              <w:rPr>
                <w:rFonts w:hint="eastAsia" w:ascii="宋体" w:hAnsi="宋体" w:cs="仿宋_GB2312"/>
                <w:color w:val="000000"/>
                <w:kern w:val="0"/>
                <w:szCs w:val="21"/>
              </w:rPr>
              <w:t xml:space="preserve">     健康办</w:t>
            </w:r>
          </w:p>
          <w:p>
            <w:pPr>
              <w:widowControl/>
              <w:rPr>
                <w:rFonts w:ascii="宋体" w:hAnsi="宋体" w:cs="宋体"/>
                <w:color w:val="000000"/>
                <w:kern w:val="0"/>
                <w:szCs w:val="21"/>
              </w:rPr>
            </w:pPr>
          </w:p>
          <w:p>
            <w:pPr>
              <w:widowControl/>
              <w:rPr>
                <w:rFonts w:ascii="宋体" w:hAnsi="宋体" w:cs="仿宋_GB2312"/>
                <w:color w:val="000000"/>
                <w:kern w:val="0"/>
                <w:szCs w:val="21"/>
              </w:rPr>
            </w:pPr>
          </w:p>
          <w:p>
            <w:pPr>
              <w:widowControl/>
              <w:rPr>
                <w:rFonts w:ascii="宋体" w:hAnsi="宋体" w:cs="仿宋_GB2312"/>
                <w:color w:val="000000"/>
                <w:kern w:val="0"/>
                <w:szCs w:val="21"/>
              </w:rPr>
            </w:pPr>
          </w:p>
          <w:p>
            <w:pPr>
              <w:widowControl/>
              <w:rPr>
                <w:rFonts w:ascii="宋体" w:hAnsi="宋体" w:cs="仿宋_GB2312"/>
                <w:color w:val="000000"/>
                <w:kern w:val="0"/>
                <w:szCs w:val="21"/>
              </w:rPr>
            </w:pPr>
          </w:p>
          <w:p>
            <w:pPr>
              <w:widowControl/>
              <w:rPr>
                <w:rFonts w:ascii="宋体" w:hAnsi="宋体" w:cs="仿宋_GB2312"/>
                <w:color w:val="000000"/>
                <w:kern w:val="0"/>
                <w:szCs w:val="21"/>
              </w:rPr>
            </w:pPr>
          </w:p>
          <w:p>
            <w:pPr>
              <w:widowControl/>
              <w:rPr>
                <w:rFonts w:ascii="宋体" w:hAnsi="宋体" w:cs="宋体"/>
                <w:color w:val="000000"/>
                <w:kern w:val="0"/>
                <w:szCs w:val="21"/>
              </w:rPr>
            </w:pPr>
            <w:r>
              <w:rPr>
                <w:rFonts w:hint="eastAsia" w:ascii="宋体" w:hAnsi="宋体" w:cs="仿宋_GB2312"/>
                <w:color w:val="000000"/>
                <w:kern w:val="0"/>
                <w:szCs w:val="21"/>
              </w:rPr>
              <w:t xml:space="preserve">   健康办</w:t>
            </w:r>
          </w:p>
        </w:tc>
        <w:tc>
          <w:tcPr>
            <w:tcW w:w="1559" w:type="dxa"/>
            <w:vMerge w:val="restart"/>
            <w:vAlign w:val="center"/>
          </w:tcPr>
          <w:p>
            <w:pPr>
              <w:widowControl/>
              <w:rPr>
                <w:rFonts w:ascii="宋体" w:hAnsi="宋体" w:cs="仿宋_GB2312"/>
                <w:color w:val="000000"/>
                <w:kern w:val="0"/>
                <w:szCs w:val="21"/>
              </w:rPr>
            </w:pPr>
            <w:r>
              <w:rPr>
                <w:rFonts w:hint="eastAsia" w:ascii="宋体" w:hAnsi="宋体" w:cs="仿宋_GB2312"/>
                <w:color w:val="000000"/>
                <w:kern w:val="0"/>
                <w:szCs w:val="21"/>
              </w:rPr>
              <w:t>健康办、卫生防病站、社区卫生服务中心、各医疗机构</w:t>
            </w: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jc w:val="center"/>
              <w:rPr>
                <w:rFonts w:ascii="宋体" w:hAnsi="宋体" w:cs="仿宋_GB2312"/>
                <w:color w:val="000000"/>
                <w:kern w:val="0"/>
                <w:szCs w:val="21"/>
              </w:rPr>
            </w:pPr>
          </w:p>
          <w:p>
            <w:pPr>
              <w:widowControl/>
              <w:jc w:val="center"/>
              <w:rPr>
                <w:rFonts w:ascii="宋体" w:hAnsi="宋体" w:cs="仿宋_GB2312"/>
                <w:color w:val="000000"/>
                <w:kern w:val="0"/>
                <w:szCs w:val="21"/>
              </w:rPr>
            </w:pPr>
          </w:p>
          <w:p>
            <w:pPr>
              <w:widowControl/>
              <w:rPr>
                <w:rFonts w:ascii="宋体" w:hAnsi="宋体" w:cs="仿宋_GB2312"/>
                <w:color w:val="000000"/>
                <w:kern w:val="0"/>
                <w:szCs w:val="21"/>
              </w:rPr>
            </w:pPr>
          </w:p>
          <w:p>
            <w:pPr>
              <w:widowControl/>
              <w:jc w:val="center"/>
              <w:rPr>
                <w:rFonts w:ascii="宋体" w:hAnsi="宋体"/>
                <w:color w:val="000000"/>
                <w:kern w:val="0"/>
                <w:szCs w:val="21"/>
              </w:rPr>
            </w:pPr>
          </w:p>
        </w:tc>
      </w:tr>
      <w:tr>
        <w:tblPrEx>
          <w:tblLayout w:type="fixed"/>
          <w:tblCellMar>
            <w:top w:w="0" w:type="dxa"/>
            <w:left w:w="108" w:type="dxa"/>
            <w:bottom w:w="0" w:type="dxa"/>
            <w:right w:w="108" w:type="dxa"/>
          </w:tblCellMar>
        </w:tblPrEx>
        <w:trPr>
          <w:trHeight w:val="8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）健康教育专业机构人员配置率达到</w:t>
            </w:r>
            <w:r>
              <w:rPr>
                <w:rFonts w:ascii="宋体" w:hAnsi="宋体" w:cs="宋体"/>
                <w:color w:val="000000"/>
                <w:kern w:val="0"/>
                <w:szCs w:val="21"/>
              </w:rPr>
              <w:t>1.75</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万人口得</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 xml:space="preserve"> </w:t>
            </w:r>
            <w:r>
              <w:rPr>
                <w:rFonts w:hint="eastAsia" w:ascii="宋体" w:hAnsi="宋体" w:cs="宋体"/>
                <w:color w:val="000000"/>
                <w:kern w:val="0"/>
                <w:szCs w:val="21"/>
              </w:rPr>
              <w:t>达</w:t>
            </w:r>
            <w:r>
              <w:rPr>
                <w:rFonts w:ascii="宋体" w:hAnsi="宋体" w:cs="宋体"/>
                <w:color w:val="000000"/>
                <w:kern w:val="0"/>
                <w:szCs w:val="21"/>
              </w:rPr>
              <w:t>1</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万人口得</w:t>
            </w:r>
            <w:r>
              <w:rPr>
                <w:rFonts w:ascii="宋体" w:hAnsi="宋体" w:cs="宋体"/>
                <w:color w:val="000000"/>
                <w:kern w:val="0"/>
                <w:szCs w:val="21"/>
              </w:rPr>
              <w:t>3</w:t>
            </w:r>
            <w:r>
              <w:rPr>
                <w:rFonts w:hint="eastAsia" w:ascii="宋体" w:hAnsi="宋体" w:cs="宋体"/>
                <w:color w:val="000000"/>
                <w:kern w:val="0"/>
                <w:szCs w:val="21"/>
              </w:rPr>
              <w:t>分、达</w:t>
            </w:r>
            <w:r>
              <w:rPr>
                <w:rFonts w:ascii="宋体" w:hAnsi="宋体" w:cs="宋体"/>
                <w:color w:val="000000"/>
                <w:kern w:val="0"/>
                <w:szCs w:val="21"/>
              </w:rPr>
              <w:t>0.5</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万人口得</w:t>
            </w:r>
            <w:r>
              <w:rPr>
                <w:rFonts w:ascii="宋体" w:hAnsi="宋体" w:cs="宋体"/>
                <w:color w:val="000000"/>
                <w:kern w:val="0"/>
                <w:szCs w:val="21"/>
              </w:rPr>
              <w:t>1</w:t>
            </w:r>
            <w:r>
              <w:rPr>
                <w:rFonts w:hint="eastAsia" w:ascii="宋体" w:hAnsi="宋体" w:cs="宋体"/>
                <w:color w:val="000000"/>
                <w:kern w:val="0"/>
                <w:szCs w:val="21"/>
              </w:rPr>
              <w:t>分</w:t>
            </w:r>
            <w:r>
              <w:rPr>
                <w:rFonts w:ascii="宋体" w:cs="宋体"/>
                <w:color w:val="000000"/>
                <w:kern w:val="0"/>
                <w:szCs w:val="21"/>
              </w:rPr>
              <w:t>.</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专业网络</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建立以健康教育专业机构为核心、覆盖辖区内所有医院、公共卫生机构、计划生育服务机构、基层医疗卫生机构的健康促进专业网络。每单位有专职人员承担健康促进与健康教育工作。培训覆盖率达</w:t>
            </w:r>
            <w:r>
              <w:rPr>
                <w:rFonts w:ascii="宋体" w:hAnsi="宋体" w:cs="宋体"/>
                <w:color w:val="000000"/>
                <w:kern w:val="0"/>
                <w:szCs w:val="21"/>
              </w:rPr>
              <w:t>100%</w:t>
            </w:r>
            <w:r>
              <w:rPr>
                <w:rFonts w:hint="eastAsia" w:ascii="宋体" w:hAnsi="宋体" w:cs="宋体"/>
                <w:color w:val="000000"/>
                <w:kern w:val="0"/>
                <w:szCs w:val="21"/>
              </w:rPr>
              <w:t>。</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）查阅机构数量和专业网络人员名单。专业网络覆盖率</w:t>
            </w:r>
            <w:r>
              <w:rPr>
                <w:rFonts w:ascii="宋体" w:hAnsi="宋体" w:cs="宋体"/>
                <w:color w:val="000000"/>
                <w:kern w:val="0"/>
                <w:szCs w:val="21"/>
              </w:rPr>
              <w:t>100%</w:t>
            </w:r>
            <w:r>
              <w:rPr>
                <w:rFonts w:hint="eastAsia" w:ascii="宋体" w:hAnsi="宋体" w:cs="宋体"/>
                <w:color w:val="000000"/>
                <w:kern w:val="0"/>
                <w:szCs w:val="21"/>
              </w:rPr>
              <w:t>得</w:t>
            </w:r>
            <w:r>
              <w:rPr>
                <w:rFonts w:ascii="宋体" w:hAnsi="宋体" w:cs="宋体"/>
                <w:color w:val="000000"/>
                <w:kern w:val="0"/>
                <w:szCs w:val="21"/>
              </w:rPr>
              <w:t>10</w:t>
            </w:r>
            <w:r>
              <w:rPr>
                <w:rFonts w:hint="eastAsia" w:ascii="宋体" w:hAnsi="宋体" w:cs="宋体"/>
                <w:color w:val="000000"/>
                <w:kern w:val="0"/>
                <w:szCs w:val="21"/>
              </w:rPr>
              <w:t>分、达</w:t>
            </w:r>
            <w:r>
              <w:rPr>
                <w:rFonts w:ascii="宋体" w:hAnsi="宋体" w:cs="宋体"/>
                <w:color w:val="000000"/>
                <w:kern w:val="0"/>
                <w:szCs w:val="21"/>
              </w:rPr>
              <w:t>50%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健康办</w:t>
            </w:r>
          </w:p>
        </w:tc>
        <w:tc>
          <w:tcPr>
            <w:tcW w:w="1559"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健康办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）查阅培训记录，培训覆盖率</w:t>
            </w:r>
            <w:r>
              <w:rPr>
                <w:rFonts w:ascii="宋体" w:hAnsi="宋体" w:cs="宋体"/>
                <w:color w:val="000000"/>
                <w:kern w:val="0"/>
                <w:szCs w:val="21"/>
              </w:rPr>
              <w:t>100%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分、达</w:t>
            </w:r>
            <w:r>
              <w:rPr>
                <w:rFonts w:ascii="宋体" w:hAnsi="宋体" w:cs="宋体"/>
                <w:color w:val="000000"/>
                <w:kern w:val="0"/>
                <w:szCs w:val="21"/>
              </w:rPr>
              <w:t>50%</w:t>
            </w:r>
            <w:r>
              <w:rPr>
                <w:rFonts w:hint="eastAsia" w:ascii="宋体" w:hAnsi="宋体" w:cs="宋体"/>
                <w:color w:val="000000"/>
                <w:kern w:val="0"/>
                <w:szCs w:val="21"/>
              </w:rPr>
              <w:t>得</w:t>
            </w:r>
            <w:r>
              <w:rPr>
                <w:rFonts w:ascii="宋体" w:hAnsi="宋体" w:cs="宋体"/>
                <w:color w:val="000000"/>
                <w:kern w:val="0"/>
                <w:szCs w:val="21"/>
              </w:rPr>
              <w:t>3</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vAlign w:val="center"/>
          </w:tcPr>
          <w:p>
            <w:pPr>
              <w:widowControl/>
              <w:jc w:val="center"/>
              <w:rPr>
                <w:rFonts w:ascii="宋体"/>
                <w:color w:val="000000"/>
                <w:kern w:val="0"/>
                <w:sz w:val="22"/>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项目管理</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开展基线调查，具备数据分析能力，了解当地的主要健康问题，制定科学的干预策略和措施。</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）开展基线调查（或社区诊断），得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健康办</w:t>
            </w:r>
          </w:p>
        </w:tc>
        <w:tc>
          <w:tcPr>
            <w:tcW w:w="1559" w:type="dxa"/>
            <w:vMerge w:val="restart"/>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rPr>
              <w:t>相关职能办公室、卫生防病站、社区卫生服务中心、各医疗机构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）完成基线调查报告（或社区诊断报告），当地主要健康问题</w:t>
            </w:r>
            <w:r>
              <w:rPr>
                <w:rFonts w:ascii="宋体" w:hAnsi="宋体" w:cs="宋体"/>
                <w:color w:val="000000"/>
                <w:kern w:val="0"/>
                <w:szCs w:val="21"/>
              </w:rPr>
              <w:t>/</w:t>
            </w:r>
            <w:r>
              <w:rPr>
                <w:rFonts w:hint="eastAsia" w:ascii="宋体" w:hAnsi="宋体" w:cs="宋体"/>
                <w:color w:val="000000"/>
                <w:kern w:val="0"/>
                <w:szCs w:val="21"/>
              </w:rPr>
              <w:t>优先领域清晰，健康促进资源分析合理，提出的干预策略和措施明确，得</w:t>
            </w:r>
            <w:r>
              <w:rPr>
                <w:rFonts w:ascii="宋体" w:hAnsi="宋体" w:cs="宋体"/>
                <w:color w:val="000000"/>
                <w:kern w:val="0"/>
                <w:szCs w:val="21"/>
              </w:rPr>
              <w:t>10</w:t>
            </w:r>
            <w:r>
              <w:rPr>
                <w:rFonts w:hint="eastAsia" w:ascii="宋体" w:hAnsi="宋体" w:cs="宋体"/>
                <w:color w:val="000000"/>
                <w:kern w:val="0"/>
                <w:szCs w:val="21"/>
              </w:rPr>
              <w:t>分。</w:t>
            </w:r>
            <w:r>
              <w:rPr>
                <w:rFonts w:ascii="宋体" w:hAnsi="宋体" w:cs="宋体"/>
                <w:color w:val="000000"/>
                <w:kern w:val="0"/>
                <w:szCs w:val="21"/>
              </w:rPr>
              <w:t xml:space="preserve"> </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建立督导检查、考核评估的工作机制，定期了解各项工作进展，听取政府各部门和居民的工作建议。</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每开展</w:t>
            </w:r>
            <w:r>
              <w:rPr>
                <w:rFonts w:ascii="宋体" w:hAnsi="宋体" w:cs="宋体"/>
                <w:color w:val="000000"/>
                <w:kern w:val="0"/>
                <w:szCs w:val="21"/>
              </w:rPr>
              <w:t>1</w:t>
            </w:r>
            <w:r>
              <w:rPr>
                <w:rFonts w:hint="eastAsia" w:ascii="宋体" w:hAnsi="宋体" w:cs="宋体"/>
                <w:color w:val="000000"/>
                <w:kern w:val="0"/>
                <w:szCs w:val="21"/>
              </w:rPr>
              <w:t>次政府牵头、多部门的联合督导和技术指导，提出有针对性的工作建议，得</w:t>
            </w:r>
            <w:r>
              <w:rPr>
                <w:rFonts w:ascii="宋体" w:hAnsi="宋体" w:cs="宋体"/>
                <w:color w:val="000000"/>
                <w:kern w:val="0"/>
                <w:szCs w:val="21"/>
              </w:rPr>
              <w:t>5</w:t>
            </w:r>
            <w:r>
              <w:rPr>
                <w:rFonts w:hint="eastAsia" w:ascii="宋体" w:hAnsi="宋体" w:cs="宋体"/>
                <w:color w:val="000000"/>
                <w:kern w:val="0"/>
                <w:szCs w:val="21"/>
              </w:rPr>
              <w:t>分，最高</w:t>
            </w:r>
            <w:r>
              <w:rPr>
                <w:rFonts w:ascii="宋体" w:hAnsi="宋体" w:cs="宋体"/>
                <w:color w:val="000000"/>
                <w:kern w:val="0"/>
                <w:szCs w:val="21"/>
              </w:rPr>
              <w:t>20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定期监测项目组织实施情况，开展项目技术评估。</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）完成健康促进县区评估人群健康调查，得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）有各类场所建设过程评估资料，得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经费保障</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将健康促进县区工作纳入当地政府预算，并根据经济发展和财政增长情况逐年增加。</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）健康促进县区工作在当地财政立项得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olor w:val="000000"/>
                <w:kern w:val="0"/>
                <w:szCs w:val="21"/>
              </w:rPr>
            </w:pPr>
            <w:r>
              <w:rPr>
                <w:rFonts w:hint="eastAsia" w:ascii="宋体" w:hAnsi="宋体" w:cs="仿宋_GB2312"/>
                <w:color w:val="000000"/>
                <w:kern w:val="0"/>
                <w:szCs w:val="21"/>
              </w:rPr>
              <w:t>财政办</w:t>
            </w:r>
          </w:p>
        </w:tc>
        <w:tc>
          <w:tcPr>
            <w:tcW w:w="1559" w:type="dxa"/>
            <w:vMerge w:val="restart"/>
            <w:vAlign w:val="center"/>
          </w:tcPr>
          <w:p>
            <w:pPr>
              <w:widowControl/>
              <w:jc w:val="center"/>
              <w:rPr>
                <w:rFonts w:ascii="宋体"/>
                <w:color w:val="000000"/>
                <w:kern w:val="0"/>
                <w:sz w:val="22"/>
                <w:szCs w:val="21"/>
              </w:rPr>
            </w:pPr>
            <w:r>
              <w:rPr>
                <w:rFonts w:hint="eastAsia" w:ascii="宋体" w:hAnsi="宋体" w:cs="仿宋_GB2312"/>
                <w:color w:val="000000"/>
                <w:kern w:val="0"/>
                <w:szCs w:val="21"/>
              </w:rPr>
              <w:t>财政办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）当地立项或配套的专项经费</w:t>
            </w:r>
            <w:r>
              <w:rPr>
                <w:rFonts w:ascii="宋体" w:hAnsi="宋体" w:cs="宋体"/>
                <w:color w:val="000000"/>
                <w:kern w:val="0"/>
                <w:szCs w:val="21"/>
              </w:rPr>
              <w:t>&lt;30</w:t>
            </w:r>
            <w:r>
              <w:rPr>
                <w:rFonts w:hint="eastAsia" w:ascii="宋体" w:hAnsi="宋体" w:cs="宋体"/>
                <w:color w:val="000000"/>
                <w:kern w:val="0"/>
                <w:szCs w:val="21"/>
              </w:rPr>
              <w:t>万得</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30</w:t>
            </w:r>
            <w:r>
              <w:rPr>
                <w:rFonts w:hint="eastAsia" w:ascii="宋体" w:hAnsi="宋体" w:cs="宋体"/>
                <w:color w:val="000000"/>
                <w:kern w:val="0"/>
                <w:szCs w:val="21"/>
              </w:rPr>
              <w:t>万得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Layout w:type="fixed"/>
          <w:tblCellMar>
            <w:top w:w="0" w:type="dxa"/>
            <w:left w:w="108" w:type="dxa"/>
            <w:bottom w:w="0" w:type="dxa"/>
            <w:right w:w="108" w:type="dxa"/>
          </w:tblCellMar>
        </w:tblPrEx>
        <w:trPr>
          <w:trHeight w:val="510" w:hRule="atLeast"/>
          <w:jc w:val="center"/>
        </w:trPr>
        <w:tc>
          <w:tcPr>
            <w:tcW w:w="1456" w:type="dxa"/>
            <w:vMerge w:val="restart"/>
            <w:vAlign w:val="center"/>
          </w:tcPr>
          <w:p>
            <w:pPr>
              <w:widowControl/>
              <w:jc w:val="center"/>
              <w:rPr>
                <w:rFonts w:ascii="宋体"/>
                <w:color w:val="000000"/>
                <w:kern w:val="0"/>
                <w:szCs w:val="21"/>
              </w:rPr>
            </w:pPr>
            <w:r>
              <w:rPr>
                <w:rFonts w:hint="eastAsia" w:ascii="宋体" w:hAnsi="宋体" w:cs="宋体"/>
                <w:color w:val="000000"/>
                <w:kern w:val="0"/>
                <w:szCs w:val="21"/>
              </w:rPr>
              <w:t>二、健康政策</w:t>
            </w:r>
            <w:r>
              <w:rPr>
                <w:rFonts w:ascii="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160</w:t>
            </w:r>
            <w:r>
              <w:rPr>
                <w:rFonts w:hint="eastAsia" w:ascii="宋体" w:hAnsi="宋体" w:cs="宋体"/>
                <w:color w:val="000000"/>
                <w:kern w:val="0"/>
                <w:szCs w:val="21"/>
              </w:rPr>
              <w:t>分）</w:t>
            </w: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宣传普及</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卫生计生部门主动向各级党政领导和部门负责人宣讲“将健康融入所有政策”的概念和意义。</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举办“将健康融入所有政策”策略专题讲座或培训班，得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s="宋体"/>
                <w:color w:val="000000"/>
                <w:kern w:val="0"/>
                <w:sz w:val="22"/>
              </w:rPr>
            </w:pPr>
            <w:r>
              <w:rPr>
                <w:rFonts w:hint="eastAsia" w:ascii="宋体" w:hAnsi="宋体" w:cs="宋体"/>
                <w:color w:val="000000"/>
                <w:kern w:val="0"/>
                <w:sz w:val="22"/>
              </w:rPr>
              <w:t>健康办</w:t>
            </w:r>
          </w:p>
          <w:p>
            <w:pPr>
              <w:widowControl/>
              <w:jc w:val="center"/>
              <w:rPr>
                <w:rFonts w:ascii="宋体" w:hAnsi="宋体" w:cs="宋体"/>
                <w:color w:val="000000"/>
                <w:kern w:val="0"/>
                <w:szCs w:val="21"/>
              </w:rPr>
            </w:pPr>
          </w:p>
        </w:tc>
        <w:tc>
          <w:tcPr>
            <w:tcW w:w="1559" w:type="dxa"/>
            <w:vMerge w:val="restart"/>
            <w:vAlign w:val="center"/>
          </w:tcPr>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县区政府主要领导、各部门、各街道</w:t>
            </w:r>
            <w:r>
              <w:rPr>
                <w:rFonts w:ascii="宋体" w:hAnsi="宋体" w:cs="宋体"/>
                <w:color w:val="000000"/>
                <w:kern w:val="0"/>
                <w:szCs w:val="21"/>
              </w:rPr>
              <w:t>/</w:t>
            </w:r>
            <w:r>
              <w:rPr>
                <w:rFonts w:hint="eastAsia" w:ascii="宋体" w:hAnsi="宋体" w:cs="宋体"/>
                <w:color w:val="000000"/>
                <w:kern w:val="0"/>
                <w:szCs w:val="21"/>
              </w:rPr>
              <w:t>乡镇主要负责人参加讲座或培训班，得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工作网络和专业网络人员参加，得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公共政策健康审查制度</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成立健康专家委员会，在新政策制订时增加健康审查程序，在提出、起草、修订、发布等政策制定环节中，征求健康专家委员会的意见。</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成立健康专家委员会，得</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restart"/>
            <w:vAlign w:val="center"/>
          </w:tcPr>
          <w:p>
            <w:pPr>
              <w:widowControl/>
              <w:jc w:val="center"/>
              <w:rPr>
                <w:rFonts w:ascii="宋体" w:hAnsi="宋体" w:cs="宋体"/>
                <w:color w:val="000000"/>
                <w:kern w:val="0"/>
                <w:szCs w:val="21"/>
              </w:rPr>
            </w:pPr>
          </w:p>
        </w:tc>
        <w:tc>
          <w:tcPr>
            <w:tcW w:w="1559" w:type="dxa"/>
            <w:vMerge w:val="restart"/>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建立公共政策审查制度。相关部门在提出、起草、修订、发布等政策开发环节有专家委员会或健康领域行政人员和专家的参与，得</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政策制定</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相关部门和乡镇（街道）梳理本部门与健康相关的公共政策，补充、修订或新制定促进健康的公共政策。</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每个政府部门政策梳理情况报告得</w:t>
            </w:r>
            <w:r>
              <w:rPr>
                <w:rFonts w:ascii="宋体" w:hAnsi="宋体" w:cs="宋体"/>
                <w:color w:val="000000"/>
                <w:kern w:val="0"/>
                <w:szCs w:val="21"/>
              </w:rPr>
              <w:t>3</w:t>
            </w:r>
            <w:r>
              <w:rPr>
                <w:rFonts w:hint="eastAsia" w:ascii="宋体" w:hAnsi="宋体" w:cs="宋体"/>
                <w:color w:val="000000"/>
                <w:kern w:val="0"/>
                <w:szCs w:val="21"/>
              </w:rPr>
              <w:t>分，最高</w:t>
            </w:r>
            <w:r>
              <w:rPr>
                <w:rFonts w:ascii="宋体" w:hAnsi="宋体" w:cs="宋体"/>
                <w:color w:val="000000"/>
                <w:kern w:val="0"/>
                <w:szCs w:val="21"/>
              </w:rPr>
              <w:t>2</w:t>
            </w:r>
            <w:r>
              <w:rPr>
                <w:rFonts w:ascii="宋体" w:cs="宋体"/>
                <w:color w:val="000000"/>
                <w:kern w:val="0"/>
                <w:szCs w:val="21"/>
              </w:rPr>
              <w:t>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62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泰达街各职能办公室</w:t>
            </w:r>
          </w:p>
        </w:tc>
        <w:tc>
          <w:tcPr>
            <w:tcW w:w="1559" w:type="dxa"/>
            <w:vMerge w:val="restart"/>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政府和相关部门补充、修订与健康有关的公共政策，每制定</w:t>
            </w:r>
            <w:r>
              <w:rPr>
                <w:rFonts w:ascii="宋体" w:hAnsi="宋体" w:cs="宋体"/>
                <w:color w:val="000000"/>
                <w:kern w:val="0"/>
                <w:szCs w:val="21"/>
              </w:rPr>
              <w:t>1</w:t>
            </w:r>
            <w:r>
              <w:rPr>
                <w:rFonts w:hint="eastAsia" w:ascii="宋体" w:hAnsi="宋体" w:cs="宋体"/>
                <w:color w:val="000000"/>
                <w:kern w:val="0"/>
                <w:szCs w:val="21"/>
              </w:rPr>
              <w:t>条政策得</w:t>
            </w:r>
            <w:r>
              <w:rPr>
                <w:rFonts w:ascii="宋体" w:hAnsi="宋体" w:cs="宋体"/>
                <w:color w:val="000000"/>
                <w:kern w:val="0"/>
                <w:szCs w:val="21"/>
              </w:rPr>
              <w:t>5</w:t>
            </w:r>
            <w:r>
              <w:rPr>
                <w:rFonts w:hint="eastAsia" w:ascii="宋体" w:hAnsi="宋体" w:cs="宋体"/>
                <w:color w:val="000000"/>
                <w:kern w:val="0"/>
                <w:szCs w:val="21"/>
              </w:rPr>
              <w:t>分，最多</w:t>
            </w:r>
            <w:r>
              <w:rPr>
                <w:rFonts w:ascii="宋体" w:hAnsi="宋体" w:cs="宋体"/>
                <w:color w:val="000000"/>
                <w:kern w:val="0"/>
                <w:szCs w:val="21"/>
              </w:rPr>
              <w:t>30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left"/>
              <w:rPr>
                <w:rFonts w:asci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跨部门行动</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针对当地需要优先应对的健康问题，开展跨部门健康行动。在多部门协作、资源统筹、社会动员、健康管理、健康产业等方面取得创新。</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政府或多部门联合开展针对重点健康问题和重点人群的健康行动，每个行动得</w:t>
            </w:r>
            <w:r>
              <w:rPr>
                <w:rFonts w:ascii="宋体" w:hAnsi="宋体" w:cs="宋体"/>
                <w:color w:val="000000"/>
                <w:kern w:val="0"/>
                <w:szCs w:val="21"/>
              </w:rPr>
              <w:t>5</w:t>
            </w:r>
            <w:r>
              <w:rPr>
                <w:rFonts w:hint="eastAsia" w:ascii="宋体" w:hAnsi="宋体" w:cs="宋体"/>
                <w:color w:val="000000"/>
                <w:kern w:val="0"/>
                <w:szCs w:val="21"/>
              </w:rPr>
              <w:t>分，最高</w:t>
            </w:r>
            <w:r>
              <w:rPr>
                <w:rFonts w:ascii="宋体" w:hAnsi="宋体" w:cs="宋体"/>
                <w:color w:val="000000"/>
                <w:kern w:val="0"/>
                <w:szCs w:val="21"/>
              </w:rPr>
              <w:t>30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627" w:type="dxa"/>
            <w:vMerge w:val="restart"/>
            <w:vAlign w:val="center"/>
          </w:tcPr>
          <w:p>
            <w:pPr>
              <w:widowControl/>
              <w:ind w:firstLine="440" w:firstLineChars="200"/>
              <w:rPr>
                <w:rFonts w:ascii="宋体" w:hAnsi="宋体" w:cs="宋体"/>
                <w:color w:val="000000"/>
                <w:kern w:val="0"/>
                <w:sz w:val="22"/>
              </w:rPr>
            </w:pPr>
            <w:r>
              <w:rPr>
                <w:rFonts w:hint="eastAsia" w:ascii="宋体" w:hAnsi="宋体" w:cs="宋体"/>
                <w:color w:val="000000"/>
                <w:kern w:val="0"/>
                <w:sz w:val="22"/>
              </w:rPr>
              <w:t>健康办</w:t>
            </w:r>
          </w:p>
          <w:p>
            <w:pPr>
              <w:widowControl/>
              <w:jc w:val="center"/>
              <w:rPr>
                <w:rFonts w:ascii="宋体" w:hAnsi="宋体" w:cs="宋体"/>
                <w:color w:val="000000"/>
                <w:kern w:val="0"/>
                <w:szCs w:val="21"/>
              </w:rPr>
            </w:pPr>
          </w:p>
        </w:tc>
        <w:tc>
          <w:tcPr>
            <w:tcW w:w="1559" w:type="dxa"/>
            <w:vMerge w:val="restart"/>
            <w:vAlign w:val="center"/>
          </w:tcPr>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每类创新得</w:t>
            </w:r>
            <w:r>
              <w:rPr>
                <w:rFonts w:ascii="宋体" w:hAnsi="宋体" w:cs="宋体"/>
                <w:color w:val="000000"/>
                <w:kern w:val="0"/>
                <w:szCs w:val="21"/>
              </w:rPr>
              <w:t>5</w:t>
            </w:r>
            <w:r>
              <w:rPr>
                <w:rFonts w:hint="eastAsia" w:ascii="宋体" w:hAnsi="宋体" w:cs="宋体"/>
                <w:color w:val="000000"/>
                <w:kern w:val="0"/>
                <w:szCs w:val="21"/>
              </w:rPr>
              <w:t>分，最高</w:t>
            </w:r>
            <w:r>
              <w:rPr>
                <w:rFonts w:ascii="宋体" w:hAnsi="宋体" w:cs="宋体"/>
                <w:color w:val="000000"/>
                <w:kern w:val="0"/>
                <w:szCs w:val="21"/>
              </w:rPr>
              <w:t>20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627" w:type="dxa"/>
            <w:vMerge w:val="continue"/>
            <w:tcBorders>
              <w:bottom w:val="single" w:color="auto" w:sz="4" w:space="0"/>
            </w:tcBorders>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restart"/>
            <w:shd w:val="clear" w:color="auto" w:fill="auto"/>
            <w:vAlign w:val="center"/>
          </w:tcPr>
          <w:p>
            <w:pPr>
              <w:widowControl/>
              <w:jc w:val="center"/>
              <w:rPr>
                <w:rFonts w:ascii="宋体"/>
                <w:color w:val="000000"/>
                <w:kern w:val="0"/>
                <w:szCs w:val="21"/>
              </w:rPr>
            </w:pPr>
            <w:r>
              <w:rPr>
                <w:rFonts w:hint="eastAsia" w:ascii="宋体" w:hAnsi="宋体" w:cs="宋体"/>
                <w:color w:val="000000"/>
                <w:kern w:val="0"/>
                <w:szCs w:val="21"/>
              </w:rPr>
              <w:t>三、健康场所</w:t>
            </w:r>
            <w:r>
              <w:rPr>
                <w:rFonts w:ascii="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250</w:t>
            </w:r>
            <w:r>
              <w:rPr>
                <w:rFonts w:hint="eastAsia" w:ascii="宋体" w:hAnsi="宋体" w:cs="宋体"/>
                <w:color w:val="000000"/>
                <w:kern w:val="0"/>
                <w:szCs w:val="21"/>
              </w:rPr>
              <w:t>分）</w:t>
            </w:r>
          </w:p>
        </w:tc>
        <w:tc>
          <w:tcPr>
            <w:tcW w:w="1275" w:type="dxa"/>
            <w:vMerge w:val="restart"/>
            <w:shd w:val="clear" w:color="auto" w:fill="auto"/>
            <w:vAlign w:val="center"/>
          </w:tcPr>
          <w:p>
            <w:pPr>
              <w:widowControl/>
              <w:jc w:val="center"/>
              <w:rPr>
                <w:rFonts w:ascii="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健康社区</w:t>
            </w:r>
            <w:r>
              <w:rPr>
                <w:rFonts w:ascii="宋体" w:hAnsi="宋体" w:cs="宋体"/>
                <w:color w:val="000000"/>
                <w:kern w:val="0"/>
                <w:szCs w:val="21"/>
              </w:rPr>
              <w:t>/</w:t>
            </w:r>
            <w:r>
              <w:rPr>
                <w:rFonts w:hint="eastAsia" w:ascii="宋体" w:hAnsi="宋体" w:cs="宋体"/>
                <w:color w:val="000000"/>
                <w:kern w:val="0"/>
                <w:szCs w:val="21"/>
              </w:rPr>
              <w:t>村</w:t>
            </w:r>
          </w:p>
        </w:tc>
        <w:tc>
          <w:tcPr>
            <w:tcW w:w="3121" w:type="dxa"/>
            <w:vMerge w:val="restart"/>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建立健康社区</w:t>
            </w:r>
            <w:r>
              <w:rPr>
                <w:rFonts w:ascii="宋体" w:hAnsi="宋体" w:cs="宋体"/>
                <w:color w:val="000000"/>
                <w:kern w:val="0"/>
                <w:szCs w:val="21"/>
              </w:rPr>
              <w:t>/</w:t>
            </w:r>
            <w:r>
              <w:rPr>
                <w:rFonts w:hint="eastAsia" w:ascii="宋体" w:hAnsi="宋体" w:cs="宋体"/>
                <w:color w:val="000000"/>
                <w:kern w:val="0"/>
                <w:szCs w:val="21"/>
              </w:rPr>
              <w:t>健康村工作机制，建设</w:t>
            </w:r>
            <w:r>
              <w:rPr>
                <w:rFonts w:ascii="宋体" w:hAnsi="宋体" w:cs="宋体"/>
                <w:color w:val="000000"/>
                <w:kern w:val="0"/>
                <w:szCs w:val="21"/>
              </w:rPr>
              <w:t>20%</w:t>
            </w:r>
            <w:r>
              <w:rPr>
                <w:rFonts w:hint="eastAsia" w:ascii="宋体" w:hAnsi="宋体" w:cs="宋体"/>
                <w:color w:val="000000"/>
                <w:kern w:val="0"/>
                <w:szCs w:val="21"/>
              </w:rPr>
              <w:t>健康社区和健康村。</w:t>
            </w:r>
          </w:p>
        </w:tc>
        <w:tc>
          <w:tcPr>
            <w:tcW w:w="992" w:type="dxa"/>
            <w:vMerge w:val="restar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有区域健康社区建设工作计划得</w:t>
            </w:r>
            <w:r>
              <w:rPr>
                <w:rFonts w:ascii="宋体" w:hAnsi="宋体" w:cs="宋体"/>
                <w:color w:val="000000"/>
                <w:kern w:val="0"/>
                <w:szCs w:val="21"/>
              </w:rPr>
              <w:t>5</w:t>
            </w:r>
            <w:r>
              <w:rPr>
                <w:rFonts w:hint="eastAsia" w:ascii="宋体" w:hAnsi="宋体" w:cs="宋体"/>
                <w:color w:val="000000"/>
                <w:kern w:val="0"/>
                <w:szCs w:val="21"/>
              </w:rPr>
              <w:t>分，有区域健康社区</w:t>
            </w:r>
            <w:r>
              <w:rPr>
                <w:rFonts w:ascii="宋体" w:hAnsi="宋体" w:cs="宋体"/>
                <w:color w:val="000000"/>
                <w:kern w:val="0"/>
                <w:szCs w:val="21"/>
              </w:rPr>
              <w:t>/</w:t>
            </w:r>
            <w:r>
              <w:rPr>
                <w:rFonts w:hint="eastAsia" w:ascii="宋体" w:hAnsi="宋体" w:cs="宋体"/>
                <w:color w:val="000000"/>
                <w:kern w:val="0"/>
                <w:szCs w:val="21"/>
              </w:rPr>
              <w:t>村督导评估报告和工作总结得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shd w:val="clear" w:color="auto"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社区办、健康办</w:t>
            </w:r>
          </w:p>
        </w:tc>
        <w:tc>
          <w:tcPr>
            <w:tcW w:w="1559" w:type="dxa"/>
            <w:vMerge w:val="restart"/>
            <w:vAlign w:val="center"/>
          </w:tcPr>
          <w:p>
            <w:pPr>
              <w:widowControl/>
              <w:jc w:val="center"/>
              <w:rPr>
                <w:rFonts w:ascii="宋体"/>
                <w:color w:val="000000"/>
                <w:kern w:val="0"/>
                <w:sz w:val="22"/>
                <w:szCs w:val="21"/>
              </w:rPr>
            </w:pPr>
            <w:r>
              <w:rPr>
                <w:rFonts w:ascii="宋体"/>
                <w:color w:val="000000"/>
                <w:kern w:val="0"/>
                <w:sz w:val="22"/>
                <w:szCs w:val="21"/>
              </w:rPr>
              <w:t>社区办、健康办、各社区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至少整理</w:t>
            </w:r>
            <w:r>
              <w:rPr>
                <w:rFonts w:ascii="宋体" w:hAnsi="宋体" w:cs="宋体"/>
                <w:color w:val="000000"/>
                <w:kern w:val="0"/>
                <w:szCs w:val="21"/>
              </w:rPr>
              <w:t>6</w:t>
            </w:r>
            <w:r>
              <w:rPr>
                <w:rFonts w:hint="eastAsia" w:ascii="宋体" w:hAnsi="宋体" w:cs="宋体"/>
                <w:color w:val="000000"/>
                <w:kern w:val="0"/>
                <w:szCs w:val="21"/>
              </w:rPr>
              <w:t>个健康社区</w:t>
            </w:r>
            <w:r>
              <w:rPr>
                <w:rFonts w:ascii="宋体" w:hAnsi="宋体" w:cs="宋体"/>
                <w:color w:val="000000"/>
                <w:kern w:val="0"/>
                <w:szCs w:val="21"/>
              </w:rPr>
              <w:t>/</w:t>
            </w:r>
            <w:r>
              <w:rPr>
                <w:rFonts w:hint="eastAsia" w:ascii="宋体" w:hAnsi="宋体" w:cs="宋体"/>
                <w:color w:val="000000"/>
                <w:kern w:val="0"/>
                <w:szCs w:val="21"/>
              </w:rPr>
              <w:t>村建设案例，得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20%</w:t>
            </w:r>
            <w:r>
              <w:rPr>
                <w:rFonts w:hint="eastAsia" w:ascii="宋体" w:hAnsi="宋体" w:cs="宋体"/>
                <w:color w:val="000000"/>
                <w:kern w:val="0"/>
                <w:szCs w:val="21"/>
              </w:rPr>
              <w:t>达标健康社区和健康村名单得</w:t>
            </w:r>
            <w:r>
              <w:rPr>
                <w:rFonts w:ascii="宋体" w:hAnsi="宋体" w:cs="宋体"/>
                <w:color w:val="000000"/>
                <w:kern w:val="0"/>
                <w:szCs w:val="21"/>
              </w:rPr>
              <w:t>10</w:t>
            </w:r>
            <w:r>
              <w:rPr>
                <w:rFonts w:hint="eastAsia" w:ascii="宋体" w:hAnsi="宋体" w:cs="宋体"/>
                <w:color w:val="000000"/>
                <w:kern w:val="0"/>
                <w:szCs w:val="21"/>
              </w:rPr>
              <w:t>分，有</w:t>
            </w:r>
            <w:r>
              <w:rPr>
                <w:rFonts w:ascii="宋体" w:hAnsi="宋体" w:cs="宋体"/>
                <w:color w:val="000000"/>
                <w:kern w:val="0"/>
                <w:szCs w:val="21"/>
              </w:rPr>
              <w:t>10%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在试点县区提供的达标社区</w:t>
            </w:r>
            <w:r>
              <w:rPr>
                <w:rFonts w:ascii="宋体" w:hAnsi="宋体" w:cs="宋体"/>
                <w:color w:val="000000"/>
                <w:kern w:val="0"/>
                <w:szCs w:val="21"/>
              </w:rPr>
              <w:t>/</w:t>
            </w:r>
            <w:r>
              <w:rPr>
                <w:rFonts w:hint="eastAsia" w:ascii="宋体" w:hAnsi="宋体" w:cs="宋体"/>
                <w:color w:val="000000"/>
                <w:kern w:val="0"/>
                <w:szCs w:val="21"/>
              </w:rPr>
              <w:t>村名单中，随机抽取</w:t>
            </w:r>
            <w:r>
              <w:rPr>
                <w:rFonts w:ascii="宋体" w:hAnsi="宋体" w:cs="宋体"/>
                <w:color w:val="000000"/>
                <w:kern w:val="0"/>
                <w:szCs w:val="21"/>
              </w:rPr>
              <w:t>1</w:t>
            </w:r>
            <w:r>
              <w:rPr>
                <w:rFonts w:hint="eastAsia" w:ascii="宋体" w:hAnsi="宋体" w:cs="宋体"/>
                <w:color w:val="000000"/>
                <w:kern w:val="0"/>
                <w:szCs w:val="21"/>
              </w:rPr>
              <w:t>个社区</w:t>
            </w:r>
            <w:r>
              <w:rPr>
                <w:rFonts w:ascii="宋体" w:hAnsi="宋体" w:cs="宋体"/>
                <w:color w:val="000000"/>
                <w:kern w:val="0"/>
                <w:szCs w:val="21"/>
              </w:rPr>
              <w:t>/</w:t>
            </w:r>
            <w:r>
              <w:rPr>
                <w:rFonts w:hint="eastAsia" w:ascii="宋体" w:hAnsi="宋体" w:cs="宋体"/>
                <w:color w:val="000000"/>
                <w:kern w:val="0"/>
                <w:szCs w:val="21"/>
              </w:rPr>
              <w:t>村开展现场考核，记录现场考核得分，最高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restart"/>
            <w:shd w:val="clear" w:color="auto" w:fill="auto"/>
            <w:vAlign w:val="center"/>
          </w:tcPr>
          <w:p>
            <w:pPr>
              <w:widowControl/>
              <w:jc w:val="center"/>
              <w:rPr>
                <w:rFonts w:ascii="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健康家庭</w:t>
            </w:r>
          </w:p>
        </w:tc>
        <w:tc>
          <w:tcPr>
            <w:tcW w:w="3121" w:type="dxa"/>
            <w:vMerge w:val="restart"/>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建立健康家庭评选工作机制，建设</w:t>
            </w:r>
            <w:r>
              <w:rPr>
                <w:rFonts w:ascii="宋体" w:hAnsi="宋体" w:cs="宋体"/>
                <w:color w:val="000000"/>
                <w:kern w:val="0"/>
                <w:szCs w:val="21"/>
              </w:rPr>
              <w:t>20%</w:t>
            </w:r>
            <w:r>
              <w:rPr>
                <w:rFonts w:hint="eastAsia" w:ascii="宋体" w:hAnsi="宋体" w:cs="宋体"/>
                <w:color w:val="000000"/>
                <w:kern w:val="0"/>
                <w:szCs w:val="21"/>
              </w:rPr>
              <w:t>健康家庭，评选一批示范健康家庭。</w:t>
            </w:r>
          </w:p>
        </w:tc>
        <w:tc>
          <w:tcPr>
            <w:tcW w:w="992" w:type="dxa"/>
            <w:vMerge w:val="restar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有健康家庭建设工作方案和总结资料得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100</w:t>
            </w:r>
            <w:r>
              <w:rPr>
                <w:rFonts w:hint="eastAsia" w:ascii="宋体" w:hAnsi="宋体" w:cs="宋体"/>
                <w:color w:val="000000"/>
                <w:kern w:val="0"/>
                <w:szCs w:val="21"/>
              </w:rPr>
              <w:t>户示范健康家庭名单得</w:t>
            </w:r>
            <w:r>
              <w:rPr>
                <w:rFonts w:ascii="宋体" w:hAnsi="宋体" w:cs="宋体"/>
                <w:color w:val="000000"/>
                <w:kern w:val="0"/>
                <w:szCs w:val="21"/>
              </w:rPr>
              <w:t>5</w:t>
            </w:r>
            <w:r>
              <w:rPr>
                <w:rFonts w:hint="eastAsia" w:ascii="宋体" w:hAnsi="宋体" w:cs="宋体"/>
                <w:color w:val="000000"/>
                <w:kern w:val="0"/>
                <w:szCs w:val="21"/>
              </w:rPr>
              <w:t>分，有</w:t>
            </w:r>
            <w:r>
              <w:rPr>
                <w:rFonts w:ascii="宋体" w:hAnsi="宋体" w:cs="宋体"/>
                <w:color w:val="000000"/>
                <w:kern w:val="0"/>
                <w:szCs w:val="21"/>
              </w:rPr>
              <w:t>50</w:t>
            </w:r>
            <w:r>
              <w:rPr>
                <w:rFonts w:hint="eastAsia" w:ascii="宋体" w:hAnsi="宋体" w:cs="宋体"/>
                <w:color w:val="000000"/>
                <w:kern w:val="0"/>
                <w:szCs w:val="21"/>
              </w:rPr>
              <w:t>户得</w:t>
            </w:r>
            <w:r>
              <w:rPr>
                <w:rFonts w:ascii="宋体" w:hAnsi="宋体" w:cs="宋体"/>
                <w:color w:val="000000"/>
                <w:kern w:val="0"/>
                <w:szCs w:val="21"/>
              </w:rPr>
              <w:t>3</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至少整理</w:t>
            </w:r>
            <w:r>
              <w:rPr>
                <w:rFonts w:ascii="宋体" w:hAnsi="宋体" w:cs="宋体"/>
                <w:color w:val="000000"/>
                <w:kern w:val="0"/>
                <w:szCs w:val="21"/>
              </w:rPr>
              <w:t>10</w:t>
            </w:r>
            <w:r>
              <w:rPr>
                <w:rFonts w:hint="eastAsia" w:ascii="宋体" w:hAnsi="宋体" w:cs="宋体"/>
                <w:color w:val="000000"/>
                <w:kern w:val="0"/>
                <w:szCs w:val="21"/>
              </w:rPr>
              <w:t>户健康家庭案例，得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健康促进医院</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建立健康促进医院建设工作机制，建设</w:t>
            </w:r>
            <w:r>
              <w:rPr>
                <w:rFonts w:ascii="宋体" w:hAnsi="宋体" w:cs="宋体"/>
                <w:color w:val="000000"/>
                <w:kern w:val="0"/>
                <w:szCs w:val="21"/>
              </w:rPr>
              <w:t>40%</w:t>
            </w:r>
            <w:r>
              <w:rPr>
                <w:rFonts w:hint="eastAsia" w:ascii="宋体" w:hAnsi="宋体" w:cs="宋体"/>
                <w:color w:val="000000"/>
                <w:kern w:val="0"/>
                <w:szCs w:val="21"/>
              </w:rPr>
              <w:t>健康促进医院（包括综合医院、专科医院、基层医疗卫生机构、计划生育技术服务机构）。</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有区域健康促进医院、无烟卫生计生单位建设方案得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ind w:firstLine="440" w:firstLineChars="200"/>
              <w:rPr>
                <w:rFonts w:ascii="宋体" w:hAnsi="宋体" w:cs="宋体"/>
                <w:color w:val="000000"/>
                <w:kern w:val="0"/>
                <w:sz w:val="22"/>
              </w:rPr>
            </w:pPr>
            <w:r>
              <w:rPr>
                <w:rFonts w:hint="eastAsia" w:ascii="宋体" w:hAnsi="宋体" w:cs="宋体"/>
                <w:color w:val="000000"/>
                <w:kern w:val="0"/>
                <w:sz w:val="22"/>
              </w:rPr>
              <w:t>健康办</w:t>
            </w:r>
          </w:p>
          <w:p>
            <w:pPr>
              <w:widowControl/>
              <w:jc w:val="center"/>
              <w:rPr>
                <w:rFonts w:ascii="宋体" w:hAnsi="宋体" w:cs="宋体"/>
                <w:color w:val="000000"/>
                <w:kern w:val="0"/>
                <w:szCs w:val="21"/>
              </w:rPr>
            </w:pPr>
          </w:p>
          <w:p>
            <w:pPr>
              <w:widowControl/>
              <w:jc w:val="center"/>
              <w:rPr>
                <w:rFonts w:ascii="宋体"/>
                <w:color w:val="000000"/>
                <w:kern w:val="0"/>
                <w:szCs w:val="21"/>
              </w:rPr>
            </w:pPr>
          </w:p>
        </w:tc>
        <w:tc>
          <w:tcPr>
            <w:tcW w:w="1559" w:type="dxa"/>
            <w:vMerge w:val="restart"/>
            <w:vAlign w:val="center"/>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rPr>
                <w:rFonts w:ascii="宋体" w:hAnsi="宋体" w:cs="宋体"/>
                <w:color w:val="000000"/>
                <w:kern w:val="0"/>
                <w:szCs w:val="21"/>
              </w:rPr>
            </w:pPr>
          </w:p>
          <w:p>
            <w:pPr>
              <w:widowControl/>
              <w:ind w:firstLine="440" w:firstLineChars="200"/>
              <w:rPr>
                <w:rFonts w:ascii="宋体" w:hAnsi="宋体" w:cs="宋体"/>
                <w:color w:val="000000"/>
                <w:kern w:val="0"/>
                <w:sz w:val="22"/>
              </w:rPr>
            </w:pPr>
            <w:r>
              <w:rPr>
                <w:rFonts w:hint="eastAsia" w:ascii="宋体" w:hAnsi="宋体" w:cs="宋体"/>
                <w:color w:val="000000"/>
                <w:kern w:val="0"/>
                <w:sz w:val="22"/>
              </w:rPr>
              <w:t>健康办</w:t>
            </w:r>
          </w:p>
          <w:p>
            <w:pPr>
              <w:widowControl/>
              <w:rPr>
                <w:rFonts w:ascii="宋体" w:hAnsi="宋体" w:cs="宋体"/>
                <w:color w:val="000000"/>
                <w:kern w:val="0"/>
                <w:szCs w:val="21"/>
              </w:rPr>
            </w:pPr>
          </w:p>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60%</w:t>
            </w:r>
            <w:r>
              <w:rPr>
                <w:rFonts w:hint="eastAsia" w:ascii="宋体" w:hAnsi="宋体" w:cs="宋体"/>
                <w:color w:val="000000"/>
                <w:kern w:val="0"/>
                <w:szCs w:val="21"/>
              </w:rPr>
              <w:t>达标的健康促进医院名单得</w:t>
            </w:r>
            <w:r>
              <w:rPr>
                <w:rFonts w:ascii="宋体" w:hAnsi="宋体" w:cs="宋体"/>
                <w:color w:val="000000"/>
                <w:kern w:val="0"/>
                <w:szCs w:val="21"/>
              </w:rPr>
              <w:t>10</w:t>
            </w:r>
            <w:r>
              <w:rPr>
                <w:rFonts w:hint="eastAsia" w:ascii="宋体" w:hAnsi="宋体" w:cs="宋体"/>
                <w:color w:val="000000"/>
                <w:kern w:val="0"/>
                <w:szCs w:val="21"/>
              </w:rPr>
              <w:t>分，有</w:t>
            </w:r>
            <w:r>
              <w:rPr>
                <w:rFonts w:ascii="宋体" w:hAnsi="宋体" w:cs="宋体"/>
                <w:color w:val="000000"/>
                <w:kern w:val="0"/>
                <w:szCs w:val="21"/>
              </w:rPr>
              <w:t>50%</w:t>
            </w:r>
            <w:r>
              <w:rPr>
                <w:rFonts w:hint="eastAsia" w:ascii="宋体" w:hAnsi="宋体" w:cs="宋体"/>
                <w:color w:val="000000"/>
                <w:kern w:val="0"/>
                <w:szCs w:val="21"/>
              </w:rPr>
              <w:t>达标的健康促进医院名单得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至少整理</w:t>
            </w:r>
            <w:r>
              <w:rPr>
                <w:rFonts w:ascii="宋体" w:hAnsi="宋体" w:cs="宋体"/>
                <w:color w:val="000000"/>
                <w:kern w:val="0"/>
                <w:szCs w:val="21"/>
              </w:rPr>
              <w:t>3</w:t>
            </w:r>
            <w:r>
              <w:rPr>
                <w:rFonts w:hint="eastAsia" w:ascii="宋体" w:hAnsi="宋体" w:cs="宋体"/>
                <w:color w:val="000000"/>
                <w:kern w:val="0"/>
                <w:szCs w:val="21"/>
              </w:rPr>
              <w:t>个健康促进医院案例，得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在政府提供的达标医疗卫生机构名单中，，随机抽取</w:t>
            </w:r>
            <w:r>
              <w:rPr>
                <w:rFonts w:ascii="宋体" w:hAnsi="宋体" w:cs="宋体"/>
                <w:color w:val="000000"/>
                <w:kern w:val="0"/>
                <w:szCs w:val="21"/>
              </w:rPr>
              <w:t>1</w:t>
            </w:r>
            <w:r>
              <w:rPr>
                <w:rFonts w:hint="eastAsia" w:ascii="宋体" w:hAnsi="宋体" w:cs="宋体"/>
                <w:color w:val="000000"/>
                <w:kern w:val="0"/>
                <w:szCs w:val="21"/>
              </w:rPr>
              <w:t>个医疗卫生机构开展现场考核，记录现场考核得分，最高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健康促进学校</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建立健康促进学校工作机制，建设一定比例的健康促进学校。</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有区域健康促进学校建设方案得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color w:val="000000"/>
                <w:kern w:val="0"/>
                <w:szCs w:val="21"/>
              </w:rPr>
            </w:pPr>
            <w:r>
              <w:rPr>
                <w:rFonts w:hint="eastAsia" w:ascii="宋体" w:hAnsi="宋体" w:cs="宋体"/>
                <w:color w:val="000000"/>
                <w:kern w:val="0"/>
                <w:szCs w:val="21"/>
              </w:rPr>
              <w:t>文教办</w:t>
            </w:r>
          </w:p>
        </w:tc>
        <w:tc>
          <w:tcPr>
            <w:tcW w:w="1559" w:type="dxa"/>
            <w:vMerge w:val="restart"/>
            <w:vAlign w:val="center"/>
          </w:tcPr>
          <w:p>
            <w:pPr>
              <w:widowControl/>
              <w:jc w:val="center"/>
              <w:rPr>
                <w:rFonts w:ascii="宋体"/>
                <w:color w:val="000000"/>
                <w:kern w:val="0"/>
                <w:sz w:val="22"/>
                <w:szCs w:val="21"/>
              </w:rPr>
            </w:pPr>
            <w:r>
              <w:rPr>
                <w:rFonts w:hint="eastAsia" w:ascii="宋体" w:hAnsi="宋体" w:cs="宋体"/>
                <w:color w:val="000000"/>
                <w:kern w:val="0"/>
                <w:sz w:val="22"/>
              </w:rPr>
              <w:t>文教办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50%</w:t>
            </w:r>
            <w:r>
              <w:rPr>
                <w:rFonts w:hint="eastAsia" w:ascii="宋体" w:hAnsi="宋体" w:cs="宋体"/>
                <w:color w:val="000000"/>
                <w:kern w:val="0"/>
                <w:szCs w:val="21"/>
              </w:rPr>
              <w:t>达标的健康促进学校名单得</w:t>
            </w:r>
            <w:r>
              <w:rPr>
                <w:rFonts w:ascii="宋体" w:hAnsi="宋体" w:cs="宋体"/>
                <w:color w:val="000000"/>
                <w:kern w:val="0"/>
                <w:szCs w:val="21"/>
              </w:rPr>
              <w:t>10</w:t>
            </w:r>
            <w:r>
              <w:rPr>
                <w:rFonts w:hint="eastAsia" w:ascii="宋体" w:hAnsi="宋体" w:cs="宋体"/>
                <w:color w:val="000000"/>
                <w:kern w:val="0"/>
                <w:szCs w:val="21"/>
              </w:rPr>
              <w:t>分，有</w:t>
            </w:r>
            <w:r>
              <w:rPr>
                <w:rFonts w:ascii="宋体" w:hAnsi="宋体" w:cs="宋体"/>
                <w:color w:val="000000"/>
                <w:kern w:val="0"/>
                <w:szCs w:val="21"/>
              </w:rPr>
              <w:t>30%</w:t>
            </w:r>
            <w:r>
              <w:rPr>
                <w:rFonts w:hint="eastAsia" w:ascii="宋体" w:hAnsi="宋体" w:cs="宋体"/>
                <w:color w:val="000000"/>
                <w:kern w:val="0"/>
                <w:szCs w:val="21"/>
              </w:rPr>
              <w:t>达标的健康促进医院名单得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至少整理</w:t>
            </w:r>
            <w:r>
              <w:rPr>
                <w:rFonts w:ascii="宋体" w:hAnsi="宋体" w:cs="宋体"/>
                <w:color w:val="000000"/>
                <w:kern w:val="0"/>
                <w:szCs w:val="21"/>
              </w:rPr>
              <w:t>3</w:t>
            </w:r>
            <w:r>
              <w:rPr>
                <w:rFonts w:hint="eastAsia" w:ascii="宋体" w:hAnsi="宋体" w:cs="宋体"/>
                <w:color w:val="000000"/>
                <w:kern w:val="0"/>
                <w:szCs w:val="21"/>
              </w:rPr>
              <w:t>个健康促进学校案例，得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在政府提供的达标健康促进学校名单中，，随机抽取</w:t>
            </w:r>
            <w:r>
              <w:rPr>
                <w:rFonts w:ascii="宋体" w:hAnsi="宋体" w:cs="宋体"/>
                <w:color w:val="000000"/>
                <w:kern w:val="0"/>
                <w:szCs w:val="21"/>
              </w:rPr>
              <w:t>1</w:t>
            </w:r>
            <w:r>
              <w:rPr>
                <w:rFonts w:hint="eastAsia" w:ascii="宋体" w:hAnsi="宋体" w:cs="宋体"/>
                <w:color w:val="000000"/>
                <w:kern w:val="0"/>
                <w:szCs w:val="21"/>
              </w:rPr>
              <w:t>个学校开展现场考核，记录现场考核得分，最高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tcBorders>
              <w:bottom w:val="single" w:color="auto" w:sz="4" w:space="0"/>
            </w:tcBorders>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restart"/>
            <w:shd w:val="clear" w:color="auto" w:fill="auto"/>
            <w:vAlign w:val="center"/>
          </w:tcPr>
          <w:p>
            <w:pPr>
              <w:widowControl/>
              <w:jc w:val="center"/>
              <w:rPr>
                <w:rFonts w:ascii="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健康促进机关</w:t>
            </w:r>
          </w:p>
        </w:tc>
        <w:tc>
          <w:tcPr>
            <w:tcW w:w="3121" w:type="dxa"/>
            <w:vMerge w:val="restart"/>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建立健康促进机关工作机制，建设一定比例的健康促进机关。</w:t>
            </w:r>
          </w:p>
        </w:tc>
        <w:tc>
          <w:tcPr>
            <w:tcW w:w="992" w:type="dxa"/>
            <w:vMerge w:val="restar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有区域健康促进机关建设方案得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shd w:val="clear" w:color="auto" w:fill="FFFFFF"/>
            <w:vAlign w:val="center"/>
          </w:tcPr>
          <w:p>
            <w:pPr>
              <w:widowControl/>
              <w:rPr>
                <w:rFonts w:ascii="宋体"/>
                <w:color w:val="000000"/>
                <w:kern w:val="0"/>
                <w:szCs w:val="21"/>
              </w:rPr>
            </w:pPr>
          </w:p>
          <w:p>
            <w:pPr>
              <w:widowControl/>
              <w:ind w:firstLine="210" w:firstLineChars="100"/>
              <w:rPr>
                <w:rFonts w:ascii="宋体" w:hAnsi="宋体" w:cs="宋体"/>
                <w:color w:val="000000"/>
                <w:kern w:val="0"/>
                <w:szCs w:val="21"/>
                <w:shd w:val="clear" w:color="auto" w:fill="FFFFFF"/>
              </w:rPr>
            </w:pPr>
          </w:p>
          <w:p>
            <w:pPr>
              <w:widowControl/>
              <w:ind w:firstLine="210" w:firstLineChars="100"/>
              <w:rPr>
                <w:rFonts w:ascii="宋体" w:hAnsi="宋体" w:cs="宋体"/>
                <w:color w:val="000000"/>
                <w:kern w:val="0"/>
                <w:szCs w:val="21"/>
                <w:shd w:val="clear" w:color="auto" w:fill="FFFFFF"/>
              </w:rPr>
            </w:pPr>
          </w:p>
          <w:p>
            <w:pPr>
              <w:widowControl/>
              <w:rPr>
                <w:rFonts w:ascii="宋体" w:hAnsi="宋体" w:cs="宋体"/>
                <w:color w:val="000000"/>
                <w:kern w:val="0"/>
                <w:szCs w:val="21"/>
                <w:shd w:val="clear" w:color="auto" w:fill="FFFFFF"/>
              </w:rPr>
            </w:pPr>
          </w:p>
          <w:p>
            <w:pPr>
              <w:widowControl/>
              <w:ind w:firstLine="210" w:firstLineChars="100"/>
              <w:rPr>
                <w:rFonts w:ascii="宋体" w:hAnsi="宋体" w:cs="宋体"/>
                <w:color w:val="000000"/>
                <w:kern w:val="0"/>
                <w:szCs w:val="21"/>
                <w:shd w:val="clear" w:color="auto" w:fill="FFFFFF"/>
              </w:rPr>
            </w:pPr>
          </w:p>
          <w:p>
            <w:pPr>
              <w:widowControl/>
              <w:ind w:firstLine="210" w:firstLineChars="100"/>
              <w:rPr>
                <w:rFonts w:ascii="宋体" w:hAnsi="宋体" w:cs="宋体"/>
                <w:color w:val="000000"/>
                <w:kern w:val="0"/>
                <w:szCs w:val="21"/>
                <w:shd w:val="clear" w:color="auto" w:fill="FFFFFF"/>
              </w:rPr>
            </w:pPr>
          </w:p>
          <w:p>
            <w:pPr>
              <w:widowControl/>
              <w:ind w:firstLine="210" w:firstLineChars="100"/>
              <w:rPr>
                <w:rFonts w:ascii="宋体" w:hAnsi="宋体" w:cs="宋体"/>
                <w:color w:val="000000"/>
                <w:kern w:val="0"/>
                <w:szCs w:val="21"/>
                <w:shd w:val="clear" w:color="auto" w:fill="FFFFFF"/>
              </w:rPr>
            </w:pPr>
          </w:p>
          <w:p>
            <w:pPr>
              <w:widowControl/>
              <w:ind w:firstLine="210" w:firstLineChars="100"/>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党政办</w:t>
            </w:r>
          </w:p>
          <w:p>
            <w:pPr>
              <w:rPr>
                <w:rFonts w:ascii="宋体"/>
                <w:color w:val="000000"/>
                <w:szCs w:val="21"/>
              </w:rPr>
            </w:pPr>
          </w:p>
        </w:tc>
        <w:tc>
          <w:tcPr>
            <w:tcW w:w="1559" w:type="dxa"/>
            <w:vMerge w:val="restart"/>
            <w:vAlign w:val="center"/>
          </w:tcPr>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50%</w:t>
            </w:r>
            <w:r>
              <w:rPr>
                <w:rFonts w:hint="eastAsia" w:ascii="宋体" w:hAnsi="宋体" w:cs="宋体"/>
                <w:color w:val="000000"/>
                <w:kern w:val="0"/>
                <w:szCs w:val="21"/>
              </w:rPr>
              <w:t>达标的健康促进机关名单得</w:t>
            </w:r>
            <w:r>
              <w:rPr>
                <w:rFonts w:ascii="宋体" w:hAnsi="宋体" w:cs="宋体"/>
                <w:color w:val="000000"/>
                <w:kern w:val="0"/>
                <w:szCs w:val="21"/>
              </w:rPr>
              <w:t>10</w:t>
            </w:r>
            <w:r>
              <w:rPr>
                <w:rFonts w:hint="eastAsia" w:ascii="宋体" w:hAnsi="宋体" w:cs="宋体"/>
                <w:color w:val="000000"/>
                <w:kern w:val="0"/>
                <w:szCs w:val="21"/>
              </w:rPr>
              <w:t>分，有</w:t>
            </w:r>
            <w:r>
              <w:rPr>
                <w:rFonts w:ascii="宋体" w:hAnsi="宋体" w:cs="宋体"/>
                <w:color w:val="000000"/>
                <w:kern w:val="0"/>
                <w:szCs w:val="21"/>
              </w:rPr>
              <w:t>30%</w:t>
            </w:r>
            <w:r>
              <w:rPr>
                <w:rFonts w:hint="eastAsia" w:ascii="宋体" w:hAnsi="宋体" w:cs="宋体"/>
                <w:color w:val="000000"/>
                <w:kern w:val="0"/>
                <w:szCs w:val="21"/>
              </w:rPr>
              <w:t>达标的健康促进医院名单得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至少整理</w:t>
            </w:r>
            <w:r>
              <w:rPr>
                <w:rFonts w:ascii="宋体" w:hAnsi="宋体" w:cs="宋体"/>
                <w:color w:val="000000"/>
                <w:kern w:val="0"/>
                <w:szCs w:val="21"/>
              </w:rPr>
              <w:t>3</w:t>
            </w:r>
            <w:r>
              <w:rPr>
                <w:rFonts w:hint="eastAsia" w:ascii="宋体" w:hAnsi="宋体" w:cs="宋体"/>
                <w:color w:val="000000"/>
                <w:kern w:val="0"/>
                <w:szCs w:val="21"/>
              </w:rPr>
              <w:t>个健康促进机关案例，得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shd w:val="clear" w:color="auto" w:fill="auto"/>
            <w:vAlign w:val="center"/>
          </w:tcPr>
          <w:p>
            <w:pPr>
              <w:widowControl/>
              <w:jc w:val="left"/>
              <w:rPr>
                <w:rFonts w:ascii="宋体"/>
                <w:color w:val="000000"/>
                <w:kern w:val="0"/>
                <w:szCs w:val="21"/>
              </w:rPr>
            </w:pPr>
          </w:p>
        </w:tc>
        <w:tc>
          <w:tcPr>
            <w:tcW w:w="1275" w:type="dxa"/>
            <w:vMerge w:val="continue"/>
            <w:shd w:val="clear" w:color="auto" w:fill="auto"/>
            <w:vAlign w:val="center"/>
          </w:tcPr>
          <w:p>
            <w:pPr>
              <w:widowControl/>
              <w:jc w:val="left"/>
              <w:rPr>
                <w:rFonts w:ascii="宋体"/>
                <w:color w:val="000000"/>
                <w:kern w:val="0"/>
                <w:szCs w:val="21"/>
              </w:rPr>
            </w:pPr>
          </w:p>
        </w:tc>
        <w:tc>
          <w:tcPr>
            <w:tcW w:w="3121" w:type="dxa"/>
            <w:vMerge w:val="continue"/>
            <w:shd w:val="clear" w:color="auto" w:fill="auto"/>
            <w:vAlign w:val="center"/>
          </w:tcPr>
          <w:p>
            <w:pPr>
              <w:widowControl/>
              <w:jc w:val="left"/>
              <w:rPr>
                <w:rFonts w:ascii="宋体"/>
                <w:color w:val="000000"/>
                <w:kern w:val="0"/>
                <w:szCs w:val="21"/>
              </w:rPr>
            </w:pPr>
          </w:p>
        </w:tc>
        <w:tc>
          <w:tcPr>
            <w:tcW w:w="992" w:type="dxa"/>
            <w:vMerge w:val="continue"/>
            <w:shd w:val="clear" w:color="auto" w:fill="auto"/>
            <w:vAlign w:val="center"/>
          </w:tcPr>
          <w:p>
            <w:pPr>
              <w:widowControl/>
              <w:jc w:val="left"/>
              <w:rPr>
                <w:rFonts w:ascii="宋体"/>
                <w:color w:val="000000"/>
                <w:kern w:val="0"/>
                <w:szCs w:val="21"/>
              </w:rPr>
            </w:pPr>
          </w:p>
        </w:tc>
        <w:tc>
          <w:tcPr>
            <w:tcW w:w="2977" w:type="dxa"/>
            <w:shd w:val="clear" w:color="auto" w:fill="auto"/>
            <w:vAlign w:val="center"/>
          </w:tcPr>
          <w:p>
            <w:pPr>
              <w:widowControl/>
              <w:jc w:val="left"/>
              <w:rPr>
                <w:rFonts w:ascii="宋体"/>
                <w:color w:val="000000"/>
                <w:kern w:val="0"/>
                <w:szCs w:val="21"/>
              </w:rPr>
            </w:pPr>
            <w:r>
              <w:rPr>
                <w:rFonts w:hint="eastAsia" w:ascii="宋体" w:hAnsi="宋体" w:cs="宋体"/>
                <w:color w:val="000000"/>
                <w:kern w:val="0"/>
                <w:szCs w:val="21"/>
              </w:rPr>
              <w:t>在政府提供的达标健康促进机关名单中，随机抽取</w:t>
            </w:r>
            <w:r>
              <w:rPr>
                <w:rFonts w:ascii="宋体" w:hAnsi="宋体" w:cs="宋体"/>
                <w:color w:val="000000"/>
                <w:kern w:val="0"/>
                <w:szCs w:val="21"/>
              </w:rPr>
              <w:t>1</w:t>
            </w:r>
            <w:r>
              <w:rPr>
                <w:rFonts w:hint="eastAsia" w:ascii="宋体" w:hAnsi="宋体" w:cs="宋体"/>
                <w:color w:val="000000"/>
                <w:kern w:val="0"/>
                <w:szCs w:val="21"/>
              </w:rPr>
              <w:t>个机关开展现场考核，记录现场考核得分，最高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shd w:val="clear" w:color="auto" w:fill="FFFFFF"/>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健康促进企业</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建立健康促进企业工作机制，建设一定比例的健康促进企业。</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有区域健康促进企业建设方案得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color w:val="000000"/>
                <w:kern w:val="0"/>
                <w:szCs w:val="21"/>
              </w:rPr>
            </w:pPr>
          </w:p>
        </w:tc>
        <w:tc>
          <w:tcPr>
            <w:tcW w:w="1559" w:type="dxa"/>
            <w:vMerge w:val="restart"/>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有</w:t>
            </w:r>
            <w:r>
              <w:rPr>
                <w:rFonts w:ascii="宋体" w:hAnsi="宋体" w:cs="宋体"/>
                <w:color w:val="000000"/>
                <w:kern w:val="0"/>
                <w:szCs w:val="21"/>
              </w:rPr>
              <w:t>20%</w:t>
            </w:r>
            <w:r>
              <w:rPr>
                <w:rFonts w:hint="eastAsia" w:ascii="宋体" w:hAnsi="宋体" w:cs="宋体"/>
                <w:color w:val="000000"/>
                <w:kern w:val="0"/>
                <w:szCs w:val="21"/>
              </w:rPr>
              <w:t>达标的健康促进企业名单得</w:t>
            </w:r>
            <w:r>
              <w:rPr>
                <w:rFonts w:ascii="宋体" w:hAnsi="宋体" w:cs="宋体"/>
                <w:color w:val="000000"/>
                <w:kern w:val="0"/>
                <w:szCs w:val="21"/>
              </w:rPr>
              <w:t>10</w:t>
            </w:r>
            <w:r>
              <w:rPr>
                <w:rFonts w:hint="eastAsia" w:ascii="宋体" w:hAnsi="宋体" w:cs="宋体"/>
                <w:color w:val="000000"/>
                <w:kern w:val="0"/>
                <w:szCs w:val="21"/>
              </w:rPr>
              <w:t>分，有</w:t>
            </w:r>
            <w:r>
              <w:rPr>
                <w:rFonts w:ascii="宋体" w:hAnsi="宋体" w:cs="宋体"/>
                <w:color w:val="000000"/>
                <w:kern w:val="0"/>
                <w:szCs w:val="21"/>
              </w:rPr>
              <w:t>5%</w:t>
            </w:r>
            <w:r>
              <w:rPr>
                <w:rFonts w:hint="eastAsia" w:ascii="宋体" w:hAnsi="宋体" w:cs="宋体"/>
                <w:color w:val="000000"/>
                <w:kern w:val="0"/>
                <w:szCs w:val="21"/>
              </w:rPr>
              <w:t>达标的健康促进医院名单得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至少整理</w:t>
            </w:r>
            <w:r>
              <w:rPr>
                <w:rFonts w:ascii="宋体" w:hAnsi="宋体" w:cs="宋体"/>
                <w:color w:val="000000"/>
                <w:kern w:val="0"/>
                <w:szCs w:val="21"/>
              </w:rPr>
              <w:t>1</w:t>
            </w:r>
            <w:r>
              <w:rPr>
                <w:rFonts w:hint="eastAsia" w:ascii="宋体" w:hAnsi="宋体" w:cs="宋体"/>
                <w:color w:val="000000"/>
                <w:kern w:val="0"/>
                <w:szCs w:val="21"/>
              </w:rPr>
              <w:t>个健康促进企业案例，得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在政府提供的达标健康促进企业名单中，，随机抽取</w:t>
            </w:r>
            <w:r>
              <w:rPr>
                <w:rFonts w:ascii="宋体" w:hAnsi="宋体" w:cs="宋体"/>
                <w:color w:val="000000"/>
                <w:kern w:val="0"/>
                <w:szCs w:val="21"/>
              </w:rPr>
              <w:t>1</w:t>
            </w:r>
            <w:r>
              <w:rPr>
                <w:rFonts w:hint="eastAsia" w:ascii="宋体" w:hAnsi="宋体" w:cs="宋体"/>
                <w:color w:val="000000"/>
                <w:kern w:val="0"/>
                <w:szCs w:val="21"/>
              </w:rPr>
              <w:t>个企业开展现场考核，记录现场考核得分，最高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56" w:type="dxa"/>
            <w:vMerge w:val="continue"/>
            <w:vAlign w:val="center"/>
          </w:tcPr>
          <w:p>
            <w:pPr>
              <w:widowControl/>
              <w:jc w:val="left"/>
              <w:rPr>
                <w:rFonts w:ascii="宋体"/>
                <w:color w:val="000000"/>
                <w:kern w:val="0"/>
                <w:szCs w:val="21"/>
              </w:rPr>
            </w:pP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公共环境</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建设健康步道、健康主题公园等公共设施，所有室内公共场所、工作场所和公共交通工具全面禁止吸烟，营造促进健康的公共环境。</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建立无烟环境工作机制，有工作计划得</w:t>
            </w:r>
            <w:r>
              <w:rPr>
                <w:rFonts w:ascii="宋体" w:hAnsi="宋体" w:cs="宋体"/>
                <w:color w:val="000000"/>
                <w:kern w:val="0"/>
                <w:szCs w:val="21"/>
              </w:rPr>
              <w:t>5</w:t>
            </w:r>
            <w:r>
              <w:rPr>
                <w:rFonts w:hint="eastAsia" w:ascii="宋体" w:hAnsi="宋体" w:cs="宋体"/>
                <w:color w:val="000000"/>
                <w:kern w:val="0"/>
                <w:szCs w:val="21"/>
              </w:rPr>
              <w:t>分，有督导报告得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restart"/>
            <w:vAlign w:val="center"/>
          </w:tcPr>
          <w:p>
            <w:pPr>
              <w:widowControl/>
              <w:jc w:val="center"/>
              <w:rPr>
                <w:rFonts w:ascii="宋体" w:hAnsi="宋体" w:cs="宋体"/>
                <w:color w:val="000000"/>
                <w:kern w:val="0"/>
                <w:szCs w:val="21"/>
              </w:rPr>
            </w:pPr>
          </w:p>
          <w:p>
            <w:pPr>
              <w:widowControl/>
              <w:jc w:val="center"/>
              <w:rPr>
                <w:rFonts w:ascii="宋体" w:hAnsi="宋体" w:cs="宋体"/>
                <w:color w:val="000000"/>
                <w:kern w:val="0"/>
                <w:sz w:val="22"/>
              </w:rPr>
            </w:pPr>
          </w:p>
          <w:p>
            <w:pPr>
              <w:widowControl/>
              <w:jc w:val="center"/>
              <w:rPr>
                <w:rFonts w:ascii="宋体" w:hAnsi="宋体" w:cs="宋体"/>
                <w:color w:val="000000"/>
                <w:kern w:val="0"/>
                <w:szCs w:val="21"/>
              </w:rPr>
            </w:pPr>
            <w:r>
              <w:rPr>
                <w:rFonts w:hint="eastAsia" w:ascii="宋体" w:hAnsi="宋体" w:cs="宋体"/>
                <w:color w:val="000000"/>
                <w:kern w:val="0"/>
                <w:sz w:val="22"/>
              </w:rPr>
              <w:t>健康办</w:t>
            </w:r>
          </w:p>
          <w:p>
            <w:pPr>
              <w:widowControl/>
              <w:jc w:val="center"/>
              <w:rPr>
                <w:rFonts w:ascii="宋体"/>
                <w:color w:val="000000"/>
                <w:kern w:val="0"/>
                <w:szCs w:val="21"/>
              </w:rPr>
            </w:pPr>
          </w:p>
          <w:p>
            <w:pPr>
              <w:widowControl/>
              <w:rPr>
                <w:rFonts w:ascii="宋体"/>
                <w:color w:val="000000"/>
                <w:kern w:val="0"/>
                <w:szCs w:val="21"/>
              </w:rPr>
            </w:pPr>
          </w:p>
        </w:tc>
        <w:tc>
          <w:tcPr>
            <w:tcW w:w="1559" w:type="dxa"/>
            <w:vMerge w:val="restart"/>
            <w:vAlign w:val="center"/>
          </w:tcPr>
          <w:p>
            <w:pPr>
              <w:widowControl/>
              <w:jc w:val="center"/>
              <w:rPr>
                <w:rFonts w:ascii="宋体" w:hAnsi="宋体" w:cs="宋体"/>
                <w:color w:val="000000"/>
                <w:kern w:val="0"/>
                <w:sz w:val="22"/>
              </w:rPr>
            </w:pPr>
          </w:p>
          <w:p>
            <w:pPr>
              <w:widowControl/>
              <w:rPr>
                <w:rFonts w:ascii="宋体" w:hAnsi="宋体" w:cs="宋体"/>
                <w:color w:val="000000"/>
                <w:kern w:val="0"/>
                <w:sz w:val="22"/>
              </w:rPr>
            </w:pPr>
            <w:r>
              <w:rPr>
                <w:rFonts w:hint="eastAsia" w:ascii="宋体" w:hAnsi="宋体" w:cs="宋体"/>
                <w:color w:val="000000"/>
                <w:kern w:val="0"/>
                <w:sz w:val="22"/>
              </w:rPr>
              <w:t>健康办、城管办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建设至少</w:t>
            </w:r>
            <w:r>
              <w:rPr>
                <w:rFonts w:ascii="宋体" w:hAnsi="宋体" w:cs="宋体"/>
                <w:color w:val="000000"/>
                <w:kern w:val="0"/>
                <w:szCs w:val="21"/>
              </w:rPr>
              <w:t>1</w:t>
            </w:r>
            <w:r>
              <w:rPr>
                <w:rFonts w:hint="eastAsia" w:ascii="宋体" w:hAnsi="宋体" w:cs="宋体"/>
                <w:color w:val="000000"/>
                <w:kern w:val="0"/>
                <w:szCs w:val="21"/>
              </w:rPr>
              <w:t>个健康出题公园得</w:t>
            </w:r>
            <w:r>
              <w:rPr>
                <w:rFonts w:ascii="宋体" w:hAnsi="宋体" w:cs="宋体"/>
                <w:color w:val="000000"/>
                <w:kern w:val="0"/>
                <w:szCs w:val="21"/>
              </w:rPr>
              <w:t>5</w:t>
            </w:r>
            <w:r>
              <w:rPr>
                <w:rFonts w:hint="eastAsia" w:ascii="宋体" w:hAnsi="宋体" w:cs="宋体"/>
                <w:color w:val="000000"/>
                <w:kern w:val="0"/>
                <w:szCs w:val="21"/>
              </w:rPr>
              <w:t>分。</w:t>
            </w:r>
            <w:r>
              <w:rPr>
                <w:rFonts w:ascii="宋体"/>
                <w:color w:val="000000"/>
                <w:kern w:val="0"/>
                <w:szCs w:val="21"/>
              </w:rPr>
              <w:br w:type="textWrapping"/>
            </w:r>
            <w:r>
              <w:rPr>
                <w:rFonts w:hint="eastAsia" w:ascii="宋体" w:hAnsi="宋体" w:cs="宋体"/>
                <w:color w:val="000000"/>
                <w:kern w:val="0"/>
                <w:szCs w:val="21"/>
              </w:rPr>
              <w:t>建设至少</w:t>
            </w:r>
            <w:r>
              <w:rPr>
                <w:rFonts w:ascii="宋体" w:hAnsi="宋体" w:cs="宋体"/>
                <w:color w:val="000000"/>
                <w:kern w:val="0"/>
                <w:szCs w:val="21"/>
              </w:rPr>
              <w:t>1</w:t>
            </w:r>
            <w:r>
              <w:rPr>
                <w:rFonts w:hint="eastAsia" w:ascii="宋体" w:hAnsi="宋体" w:cs="宋体"/>
                <w:color w:val="000000"/>
                <w:kern w:val="0"/>
                <w:szCs w:val="21"/>
              </w:rPr>
              <w:t>条健康步道得</w:t>
            </w:r>
            <w:r>
              <w:rPr>
                <w:rFonts w:ascii="宋体" w:hAnsi="宋体" w:cs="宋体"/>
                <w:color w:val="000000"/>
                <w:kern w:val="0"/>
                <w:szCs w:val="21"/>
              </w:rPr>
              <w:t>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评估时经过的道路、公共场所和公园步道，有无烟标识、有健康提示、环境卫生无垃圾堆放、无烟头，得</w:t>
            </w:r>
            <w:r>
              <w:rPr>
                <w:rFonts w:ascii="宋体" w:hAnsi="宋体" w:cs="宋体"/>
                <w:color w:val="000000"/>
                <w:kern w:val="0"/>
                <w:szCs w:val="21"/>
              </w:rPr>
              <w:t>10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restart"/>
            <w:vAlign w:val="center"/>
          </w:tcPr>
          <w:p>
            <w:pPr>
              <w:widowControl/>
              <w:jc w:val="center"/>
              <w:rPr>
                <w:rFonts w:ascii="宋体"/>
                <w:color w:val="000000"/>
                <w:kern w:val="0"/>
                <w:szCs w:val="21"/>
              </w:rPr>
            </w:pPr>
            <w:r>
              <w:rPr>
                <w:rFonts w:hint="eastAsia" w:ascii="宋体" w:hAnsi="宋体" w:cs="宋体"/>
                <w:color w:val="000000"/>
                <w:kern w:val="0"/>
                <w:szCs w:val="21"/>
              </w:rPr>
              <w:t>四、健康文化</w:t>
            </w:r>
            <w:r>
              <w:rPr>
                <w:rFonts w:ascii="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150</w:t>
            </w:r>
            <w:r>
              <w:rPr>
                <w:rFonts w:hint="eastAsia" w:ascii="宋体" w:hAnsi="宋体" w:cs="宋体"/>
                <w:color w:val="000000"/>
                <w:kern w:val="0"/>
                <w:szCs w:val="21"/>
              </w:rPr>
              <w:t>分）</w:t>
            </w:r>
          </w:p>
        </w:tc>
        <w:tc>
          <w:tcPr>
            <w:tcW w:w="1275" w:type="dxa"/>
            <w:vMerge w:val="restart"/>
            <w:vAlign w:val="center"/>
          </w:tcPr>
          <w:p>
            <w:pPr>
              <w:widowControl/>
              <w:jc w:val="center"/>
              <w:rPr>
                <w:rFonts w:ascii="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媒体合作</w:t>
            </w:r>
          </w:p>
        </w:tc>
        <w:tc>
          <w:tcPr>
            <w:tcW w:w="3121" w:type="dxa"/>
            <w:vMerge w:val="restart"/>
            <w:vAlign w:val="center"/>
          </w:tcPr>
          <w:p>
            <w:pPr>
              <w:widowControl/>
              <w:jc w:val="left"/>
              <w:rPr>
                <w:rFonts w:ascii="宋体"/>
                <w:color w:val="000000"/>
                <w:kern w:val="0"/>
                <w:szCs w:val="21"/>
              </w:rPr>
            </w:pPr>
            <w:r>
              <w:rPr>
                <w:rFonts w:hint="eastAsia" w:ascii="宋体" w:hAnsi="宋体" w:cs="宋体"/>
                <w:color w:val="000000"/>
                <w:kern w:val="0"/>
                <w:szCs w:val="21"/>
              </w:rPr>
              <w:t>本地电视台、广播电台和报纸开设健康类节目或栏目。定期组织媒体培训会或媒体交流会。</w:t>
            </w:r>
          </w:p>
        </w:tc>
        <w:tc>
          <w:tcPr>
            <w:tcW w:w="992" w:type="dxa"/>
            <w:vMerge w:val="restart"/>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建设满半年的电视台健康节目、广播电台健康节目、报纸健康栏目，分别得</w:t>
            </w:r>
            <w:r>
              <w:rPr>
                <w:rFonts w:ascii="宋体" w:hAnsi="宋体" w:cs="宋体"/>
                <w:color w:val="000000"/>
                <w:kern w:val="0"/>
                <w:szCs w:val="21"/>
              </w:rPr>
              <w:t>5</w:t>
            </w:r>
            <w:r>
              <w:rPr>
                <w:rFonts w:hint="eastAsia" w:ascii="宋体" w:hAnsi="宋体" w:cs="宋体"/>
                <w:color w:val="000000"/>
                <w:kern w:val="0"/>
                <w:szCs w:val="21"/>
              </w:rPr>
              <w:t>分，不满半年分别得</w:t>
            </w:r>
            <w:r>
              <w:rPr>
                <w:rFonts w:ascii="宋体" w:hAnsi="宋体" w:cs="宋体"/>
                <w:color w:val="000000"/>
                <w:kern w:val="0"/>
                <w:szCs w:val="21"/>
              </w:rPr>
              <w:t>3</w:t>
            </w:r>
            <w:r>
              <w:rPr>
                <w:rFonts w:hint="eastAsia" w:ascii="宋体" w:hAnsi="宋体" w:cs="宋体"/>
                <w:color w:val="000000"/>
                <w:kern w:val="0"/>
                <w:szCs w:val="21"/>
              </w:rPr>
              <w:t>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restart"/>
            <w:vAlign w:val="center"/>
          </w:tcPr>
          <w:p>
            <w:pPr>
              <w:widowControl/>
              <w:jc w:val="center"/>
              <w:rPr>
                <w:rFonts w:ascii="宋体"/>
                <w:color w:val="000000"/>
                <w:kern w:val="0"/>
                <w:szCs w:val="21"/>
              </w:rPr>
            </w:pPr>
          </w:p>
        </w:tc>
        <w:tc>
          <w:tcPr>
            <w:tcW w:w="1559" w:type="dxa"/>
            <w:vMerge w:val="restart"/>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6" w:type="dxa"/>
            <w:vMerge w:val="continue"/>
            <w:vAlign w:val="center"/>
          </w:tcPr>
          <w:p>
            <w:pPr>
              <w:widowControl/>
              <w:jc w:val="left"/>
              <w:rPr>
                <w:rFonts w:ascii="宋体"/>
                <w:color w:val="000000"/>
                <w:kern w:val="0"/>
                <w:szCs w:val="21"/>
              </w:rPr>
            </w:pPr>
          </w:p>
        </w:tc>
        <w:tc>
          <w:tcPr>
            <w:tcW w:w="1275" w:type="dxa"/>
            <w:vMerge w:val="continue"/>
            <w:vAlign w:val="center"/>
          </w:tcPr>
          <w:p>
            <w:pPr>
              <w:widowControl/>
              <w:jc w:val="left"/>
              <w:rPr>
                <w:rFonts w:ascii="宋体"/>
                <w:color w:val="000000"/>
                <w:kern w:val="0"/>
                <w:szCs w:val="21"/>
              </w:rPr>
            </w:pPr>
          </w:p>
        </w:tc>
        <w:tc>
          <w:tcPr>
            <w:tcW w:w="3121" w:type="dxa"/>
            <w:vMerge w:val="continue"/>
            <w:vAlign w:val="center"/>
          </w:tcPr>
          <w:p>
            <w:pPr>
              <w:widowControl/>
              <w:jc w:val="left"/>
              <w:rPr>
                <w:rFonts w:ascii="宋体"/>
                <w:color w:val="000000"/>
                <w:kern w:val="0"/>
                <w:szCs w:val="21"/>
              </w:rPr>
            </w:pPr>
          </w:p>
        </w:tc>
        <w:tc>
          <w:tcPr>
            <w:tcW w:w="992" w:type="dxa"/>
            <w:vMerge w:val="continue"/>
            <w:vAlign w:val="center"/>
          </w:tcPr>
          <w:p>
            <w:pPr>
              <w:widowControl/>
              <w:jc w:val="left"/>
              <w:rPr>
                <w:rFonts w:ascii="宋体"/>
                <w:color w:val="000000"/>
                <w:kern w:val="0"/>
                <w:szCs w:val="21"/>
              </w:rPr>
            </w:pP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组织</w:t>
            </w:r>
            <w:r>
              <w:rPr>
                <w:rFonts w:ascii="宋体" w:hAnsi="宋体" w:cs="宋体"/>
                <w:color w:val="000000"/>
                <w:kern w:val="0"/>
                <w:szCs w:val="21"/>
              </w:rPr>
              <w:t>1</w:t>
            </w:r>
            <w:r>
              <w:rPr>
                <w:rFonts w:hint="eastAsia" w:ascii="宋体" w:hAnsi="宋体" w:cs="宋体"/>
                <w:color w:val="000000"/>
                <w:kern w:val="0"/>
                <w:szCs w:val="21"/>
              </w:rPr>
              <w:t>次媒体培训会或媒体交流活动（包括媒体培训会、交流会、通气会）得</w:t>
            </w:r>
            <w:r>
              <w:rPr>
                <w:rFonts w:ascii="宋体" w:hAnsi="宋体" w:cs="宋体"/>
                <w:color w:val="000000"/>
                <w:kern w:val="0"/>
                <w:szCs w:val="21"/>
              </w:rPr>
              <w:t>5</w:t>
            </w:r>
            <w:r>
              <w:rPr>
                <w:rFonts w:hint="eastAsia" w:ascii="宋体" w:hAnsi="宋体" w:cs="宋体"/>
                <w:color w:val="000000"/>
                <w:kern w:val="0"/>
                <w:szCs w:val="21"/>
              </w:rPr>
              <w:t>分，最高</w:t>
            </w:r>
            <w:r>
              <w:rPr>
                <w:rFonts w:ascii="宋体" w:hAnsi="宋体" w:cs="宋体"/>
                <w:color w:val="000000"/>
                <w:kern w:val="0"/>
                <w:szCs w:val="21"/>
              </w:rPr>
              <w:t>15</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627" w:type="dxa"/>
            <w:vMerge w:val="continue"/>
            <w:vAlign w:val="center"/>
          </w:tcPr>
          <w:p>
            <w:pPr>
              <w:widowControl/>
              <w:jc w:val="center"/>
              <w:rPr>
                <w:rFonts w:ascii="宋体"/>
                <w:color w:val="000000"/>
                <w:kern w:val="0"/>
                <w:szCs w:val="21"/>
              </w:rPr>
            </w:pPr>
          </w:p>
        </w:tc>
        <w:tc>
          <w:tcPr>
            <w:tcW w:w="1559" w:type="dxa"/>
            <w:vMerge w:val="continue"/>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新媒体健康传播</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设立健康类微博、微信等新媒体平台，开展健康科普。</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每设立</w:t>
            </w:r>
            <w:r>
              <w:rPr>
                <w:rFonts w:ascii="宋体" w:hAnsi="宋体" w:cs="宋体"/>
                <w:color w:val="000000"/>
                <w:kern w:val="0"/>
                <w:szCs w:val="21"/>
              </w:rPr>
              <w:t>1</w:t>
            </w:r>
            <w:r>
              <w:rPr>
                <w:rFonts w:hint="eastAsia" w:ascii="宋体" w:hAnsi="宋体" w:cs="宋体"/>
                <w:color w:val="000000"/>
                <w:kern w:val="0"/>
                <w:szCs w:val="21"/>
              </w:rPr>
              <w:t>个有专人维护、定期更新（至少每周更新一次）的健康类新媒体平台（微信公众号、微博账号）得</w:t>
            </w:r>
            <w:r>
              <w:rPr>
                <w:rFonts w:ascii="宋体" w:hAnsi="宋体" w:cs="宋体"/>
                <w:color w:val="000000"/>
                <w:kern w:val="0"/>
                <w:szCs w:val="21"/>
              </w:rPr>
              <w:t>20</w:t>
            </w:r>
            <w:r>
              <w:rPr>
                <w:rFonts w:hint="eastAsia" w:ascii="宋体" w:hAnsi="宋体" w:cs="宋体"/>
                <w:color w:val="000000"/>
                <w:kern w:val="0"/>
                <w:szCs w:val="21"/>
              </w:rPr>
              <w:t>分，最高</w:t>
            </w:r>
            <w:r>
              <w:rPr>
                <w:rFonts w:ascii="宋体" w:hAnsi="宋体" w:cs="宋体"/>
                <w:color w:val="000000"/>
                <w:kern w:val="0"/>
                <w:szCs w:val="21"/>
              </w:rPr>
              <w:t>40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1627" w:type="dxa"/>
            <w:vAlign w:val="center"/>
          </w:tcPr>
          <w:p>
            <w:pPr>
              <w:widowControl/>
              <w:jc w:val="center"/>
              <w:rPr>
                <w:rFonts w:ascii="宋体"/>
                <w:color w:val="000000"/>
                <w:kern w:val="0"/>
                <w:szCs w:val="21"/>
              </w:rPr>
            </w:pPr>
            <w:r>
              <w:rPr>
                <w:rFonts w:hint="eastAsia" w:ascii="宋体" w:hAnsi="宋体" w:cs="宋体"/>
                <w:color w:val="000000"/>
                <w:kern w:val="0"/>
                <w:szCs w:val="21"/>
              </w:rPr>
              <w:t>泰达街各部门、单位、社区</w:t>
            </w:r>
          </w:p>
        </w:tc>
        <w:tc>
          <w:tcPr>
            <w:tcW w:w="1559" w:type="dxa"/>
            <w:vAlign w:val="center"/>
          </w:tcPr>
          <w:p>
            <w:pPr>
              <w:widowControl/>
              <w:jc w:val="center"/>
              <w:rPr>
                <w:rFonts w:ascii="宋体"/>
                <w:color w:val="000000"/>
                <w:kern w:val="0"/>
                <w:sz w:val="22"/>
                <w:szCs w:val="21"/>
              </w:rPr>
            </w:pPr>
            <w:r>
              <w:rPr>
                <w:rFonts w:hint="eastAsia" w:ascii="宋体" w:hAnsi="宋体" w:cs="宋体"/>
                <w:color w:val="000000"/>
                <w:kern w:val="0"/>
                <w:szCs w:val="21"/>
              </w:rPr>
              <w:t>泰达街各部门、单位、社区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节日纪念日主题活动</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在重要节日纪念日宣传时段内，开展多部门联合的、单场活动人数不低于</w:t>
            </w:r>
            <w:r>
              <w:rPr>
                <w:rFonts w:ascii="宋体" w:hAnsi="宋体" w:cs="宋体"/>
                <w:color w:val="000000"/>
                <w:kern w:val="0"/>
                <w:szCs w:val="21"/>
              </w:rPr>
              <w:t>200</w:t>
            </w:r>
            <w:r>
              <w:rPr>
                <w:rFonts w:hint="eastAsia" w:ascii="宋体" w:hAnsi="宋体" w:cs="宋体"/>
                <w:color w:val="000000"/>
                <w:kern w:val="0"/>
                <w:szCs w:val="21"/>
              </w:rPr>
              <w:t>人的、线上线下联合的、有媒体深入宣传的健康主题活动。</w:t>
            </w:r>
          </w:p>
        </w:tc>
        <w:tc>
          <w:tcPr>
            <w:tcW w:w="992" w:type="dxa"/>
            <w:vAlign w:val="center"/>
          </w:tcPr>
          <w:p>
            <w:pPr>
              <w:widowControl/>
              <w:jc w:val="right"/>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每举办</w:t>
            </w:r>
            <w:r>
              <w:rPr>
                <w:rFonts w:ascii="宋体" w:hAnsi="宋体" w:cs="宋体"/>
                <w:color w:val="000000"/>
                <w:kern w:val="0"/>
                <w:szCs w:val="21"/>
              </w:rPr>
              <w:t>1</w:t>
            </w:r>
            <w:r>
              <w:rPr>
                <w:rFonts w:hint="eastAsia" w:ascii="宋体" w:hAnsi="宋体" w:cs="宋体"/>
                <w:color w:val="000000"/>
                <w:kern w:val="0"/>
                <w:szCs w:val="21"/>
              </w:rPr>
              <w:t>次符合要求的节日纪念日主题活动，得</w:t>
            </w:r>
            <w:r>
              <w:rPr>
                <w:rFonts w:ascii="宋体" w:hAnsi="宋体" w:cs="宋体"/>
                <w:color w:val="000000"/>
                <w:kern w:val="0"/>
                <w:szCs w:val="21"/>
              </w:rPr>
              <w:t>5</w:t>
            </w:r>
            <w:r>
              <w:rPr>
                <w:rFonts w:hint="eastAsia" w:ascii="宋体" w:hAnsi="宋体" w:cs="宋体"/>
                <w:color w:val="000000"/>
                <w:kern w:val="0"/>
                <w:szCs w:val="21"/>
              </w:rPr>
              <w:t>分，最高</w:t>
            </w:r>
            <w:r>
              <w:rPr>
                <w:rFonts w:ascii="宋体" w:hAnsi="宋体" w:cs="宋体"/>
                <w:color w:val="000000"/>
                <w:kern w:val="0"/>
                <w:szCs w:val="21"/>
              </w:rPr>
              <w:t>40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1627"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健康办</w:t>
            </w:r>
          </w:p>
        </w:tc>
        <w:tc>
          <w:tcPr>
            <w:tcW w:w="155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健康传播</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媒体积极宣传健康促进县区建设工作进展和成效。</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各类媒体（包括电视、广播、报纸等）宣传报道健康促进县区相关工作进展，每报道一次得</w:t>
            </w:r>
            <w:r>
              <w:rPr>
                <w:rFonts w:ascii="宋体" w:hAnsi="宋体" w:cs="宋体"/>
                <w:color w:val="000000"/>
                <w:kern w:val="0"/>
                <w:szCs w:val="21"/>
              </w:rPr>
              <w:t>2</w:t>
            </w:r>
            <w:r>
              <w:rPr>
                <w:rFonts w:hint="eastAsia" w:ascii="宋体" w:hAnsi="宋体" w:cs="宋体"/>
                <w:color w:val="000000"/>
                <w:kern w:val="0"/>
                <w:szCs w:val="21"/>
              </w:rPr>
              <w:t>分，最高</w:t>
            </w:r>
            <w:r>
              <w:rPr>
                <w:rFonts w:ascii="宋体" w:hAnsi="宋体" w:cs="宋体"/>
                <w:color w:val="000000"/>
                <w:kern w:val="0"/>
                <w:szCs w:val="21"/>
              </w:rPr>
              <w:t>40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1627" w:type="dxa"/>
            <w:vAlign w:val="center"/>
          </w:tcPr>
          <w:p>
            <w:pPr>
              <w:widowControl/>
              <w:jc w:val="center"/>
              <w:rPr>
                <w:rFonts w:ascii="宋体"/>
                <w:color w:val="000000"/>
                <w:kern w:val="0"/>
                <w:szCs w:val="21"/>
              </w:rPr>
            </w:pPr>
          </w:p>
        </w:tc>
        <w:tc>
          <w:tcPr>
            <w:tcW w:w="1559" w:type="dxa"/>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456" w:type="dxa"/>
            <w:vMerge w:val="restart"/>
            <w:vAlign w:val="center"/>
          </w:tcPr>
          <w:p>
            <w:pPr>
              <w:widowControl/>
              <w:jc w:val="center"/>
              <w:rPr>
                <w:rFonts w:ascii="宋体"/>
                <w:color w:val="000000"/>
                <w:kern w:val="0"/>
                <w:szCs w:val="21"/>
              </w:rPr>
            </w:pPr>
            <w:r>
              <w:rPr>
                <w:rFonts w:hint="eastAsia" w:ascii="宋体" w:hAnsi="宋体" w:cs="宋体"/>
                <w:color w:val="000000"/>
                <w:kern w:val="0"/>
                <w:szCs w:val="21"/>
              </w:rPr>
              <w:t>五、健康环境</w:t>
            </w:r>
            <w:r>
              <w:rPr>
                <w:rFonts w:ascii="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130</w:t>
            </w:r>
            <w:r>
              <w:rPr>
                <w:rFonts w:hint="eastAsia" w:ascii="宋体" w:hAnsi="宋体" w:cs="宋体"/>
                <w:color w:val="000000"/>
                <w:kern w:val="0"/>
                <w:szCs w:val="21"/>
              </w:rPr>
              <w:t>分）</w:t>
            </w: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空气质量</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环境空气质量优良天数占比</w:t>
            </w:r>
            <w:r>
              <w:rPr>
                <w:rFonts w:ascii="宋体" w:hAnsi="宋体" w:cs="宋体"/>
                <w:color w:val="000000"/>
                <w:kern w:val="0"/>
                <w:szCs w:val="21"/>
              </w:rPr>
              <w:t>&gt;80%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环境空气质量优良天数占比</w:t>
            </w:r>
            <w:r>
              <w:rPr>
                <w:rFonts w:ascii="宋体" w:hAnsi="宋体" w:cs="宋体"/>
                <w:color w:val="000000"/>
                <w:kern w:val="0"/>
                <w:szCs w:val="21"/>
              </w:rPr>
              <w:t>&gt;80%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rPr>
                <w:rFonts w:ascii="宋体"/>
                <w:color w:val="000000"/>
                <w:kern w:val="0"/>
                <w:sz w:val="22"/>
                <w:szCs w:val="21"/>
              </w:rPr>
            </w:pPr>
          </w:p>
        </w:tc>
        <w:tc>
          <w:tcPr>
            <w:tcW w:w="1559" w:type="dxa"/>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饮用水质量</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生活饮用水水质合格率达</w:t>
            </w:r>
            <w:r>
              <w:rPr>
                <w:rFonts w:ascii="宋体" w:hAnsi="宋体" w:cs="宋体"/>
                <w:color w:val="000000"/>
                <w:kern w:val="0"/>
                <w:szCs w:val="21"/>
              </w:rPr>
              <w:t>100%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生活饮用水水质合格率达</w:t>
            </w:r>
            <w:r>
              <w:rPr>
                <w:rFonts w:ascii="宋体" w:hAnsi="宋体" w:cs="宋体"/>
                <w:color w:val="000000"/>
                <w:kern w:val="0"/>
                <w:szCs w:val="21"/>
              </w:rPr>
              <w:t>100%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rPr>
                <w:rFonts w:ascii="宋体" w:hAnsi="宋体" w:cs="宋体"/>
                <w:color w:val="000000"/>
                <w:kern w:val="0"/>
                <w:sz w:val="22"/>
              </w:rPr>
            </w:pPr>
          </w:p>
          <w:p>
            <w:pPr>
              <w:widowControl/>
              <w:rPr>
                <w:rFonts w:ascii="宋体" w:hAnsi="宋体" w:cs="宋体"/>
                <w:color w:val="000000"/>
                <w:kern w:val="0"/>
                <w:sz w:val="22"/>
              </w:rPr>
            </w:pPr>
          </w:p>
          <w:p>
            <w:pPr>
              <w:widowControl/>
              <w:jc w:val="center"/>
              <w:rPr>
                <w:rFonts w:ascii="宋体"/>
                <w:color w:val="000000"/>
                <w:kern w:val="0"/>
                <w:szCs w:val="21"/>
              </w:rPr>
            </w:pPr>
          </w:p>
        </w:tc>
        <w:tc>
          <w:tcPr>
            <w:tcW w:w="1559" w:type="dxa"/>
            <w:vAlign w:val="center"/>
          </w:tcPr>
          <w:p>
            <w:pPr>
              <w:widowControl/>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95"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食品安全</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食品监督抽检合格率达</w:t>
            </w:r>
            <w:r>
              <w:rPr>
                <w:rFonts w:ascii="宋体" w:hAnsi="宋体" w:cs="宋体"/>
                <w:color w:val="000000"/>
                <w:kern w:val="0"/>
                <w:szCs w:val="21"/>
              </w:rPr>
              <w:t>100%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食品监督抽检合格率达</w:t>
            </w:r>
            <w:r>
              <w:rPr>
                <w:rFonts w:ascii="宋体" w:hAnsi="宋体" w:cs="宋体"/>
                <w:color w:val="000000"/>
                <w:kern w:val="0"/>
                <w:szCs w:val="21"/>
              </w:rPr>
              <w:t>100%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rPr>
                <w:rFonts w:ascii="宋体"/>
                <w:color w:val="000000"/>
                <w:kern w:val="0"/>
                <w:sz w:val="22"/>
                <w:szCs w:val="21"/>
              </w:rPr>
            </w:pPr>
          </w:p>
        </w:tc>
        <w:tc>
          <w:tcPr>
            <w:tcW w:w="1559" w:type="dxa"/>
            <w:vAlign w:val="center"/>
          </w:tcPr>
          <w:p>
            <w:pPr>
              <w:widowControl/>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垃圾处理</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生活垃圾无害化处理率</w:t>
            </w:r>
            <w:r>
              <w:rPr>
                <w:rFonts w:ascii="宋体" w:hAnsi="宋体" w:cs="宋体"/>
                <w:color w:val="000000"/>
                <w:kern w:val="0"/>
                <w:szCs w:val="21"/>
              </w:rPr>
              <w:t>(</w:t>
            </w:r>
            <w:r>
              <w:rPr>
                <w:rFonts w:hint="eastAsia" w:ascii="宋体" w:hAnsi="宋体" w:cs="宋体"/>
                <w:color w:val="000000"/>
                <w:kern w:val="0"/>
                <w:szCs w:val="21"/>
              </w:rPr>
              <w:t>建城区</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95%</w:t>
            </w:r>
            <w:r>
              <w:rPr>
                <w:rFonts w:hint="eastAsia" w:ascii="宋体" w:hAnsi="宋体" w:cs="宋体"/>
                <w:color w:val="000000"/>
                <w:kern w:val="0"/>
                <w:szCs w:val="21"/>
              </w:rPr>
              <w:t>，生活垃圾集中处理率</w:t>
            </w:r>
            <w:r>
              <w:rPr>
                <w:rFonts w:ascii="宋体" w:hAnsi="宋体" w:cs="宋体"/>
                <w:color w:val="000000"/>
                <w:kern w:val="0"/>
                <w:szCs w:val="21"/>
              </w:rPr>
              <w:t>(</w:t>
            </w:r>
            <w:r>
              <w:rPr>
                <w:rFonts w:hint="eastAsia" w:ascii="宋体" w:hAnsi="宋体" w:cs="宋体"/>
                <w:color w:val="000000"/>
                <w:kern w:val="0"/>
                <w:szCs w:val="21"/>
              </w:rPr>
              <w:t>农村</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90%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生活垃圾无害化处理率</w:t>
            </w:r>
            <w:r>
              <w:rPr>
                <w:rFonts w:ascii="宋体" w:hAnsi="宋体" w:cs="宋体"/>
                <w:color w:val="000000"/>
                <w:kern w:val="0"/>
                <w:szCs w:val="21"/>
              </w:rPr>
              <w:t>(</w:t>
            </w:r>
            <w:r>
              <w:rPr>
                <w:rFonts w:hint="eastAsia" w:ascii="宋体" w:hAnsi="宋体" w:cs="宋体"/>
                <w:color w:val="000000"/>
                <w:kern w:val="0"/>
                <w:szCs w:val="21"/>
              </w:rPr>
              <w:t>建城区</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95%</w:t>
            </w:r>
            <w:r>
              <w:rPr>
                <w:rFonts w:hint="eastAsia" w:ascii="宋体" w:hAnsi="宋体" w:cs="宋体"/>
                <w:color w:val="000000"/>
                <w:kern w:val="0"/>
                <w:szCs w:val="21"/>
              </w:rPr>
              <w:t>，生活垃圾集中处理率</w:t>
            </w:r>
            <w:r>
              <w:rPr>
                <w:rFonts w:ascii="宋体" w:hAnsi="宋体" w:cs="宋体"/>
                <w:color w:val="000000"/>
                <w:kern w:val="0"/>
                <w:szCs w:val="21"/>
              </w:rPr>
              <w:t>(</w:t>
            </w:r>
            <w:r>
              <w:rPr>
                <w:rFonts w:hint="eastAsia" w:ascii="宋体" w:hAnsi="宋体" w:cs="宋体"/>
                <w:color w:val="000000"/>
                <w:kern w:val="0"/>
                <w:szCs w:val="21"/>
              </w:rPr>
              <w:t>农村</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90%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r>
              <w:rPr>
                <w:rFonts w:hint="eastAsia" w:ascii="宋体" w:hAnsi="宋体" w:cs="宋体"/>
                <w:color w:val="000000"/>
                <w:kern w:val="0"/>
                <w:sz w:val="22"/>
              </w:rPr>
              <w:t>城管办</w:t>
            </w:r>
          </w:p>
        </w:tc>
        <w:tc>
          <w:tcPr>
            <w:tcW w:w="1559" w:type="dxa"/>
            <w:vAlign w:val="center"/>
          </w:tcPr>
          <w:p>
            <w:pPr>
              <w:widowControl/>
              <w:jc w:val="center"/>
              <w:rPr>
                <w:rFonts w:ascii="宋体"/>
                <w:color w:val="000000"/>
                <w:kern w:val="0"/>
                <w:sz w:val="22"/>
                <w:szCs w:val="21"/>
              </w:rPr>
            </w:pPr>
            <w:r>
              <w:rPr>
                <w:rFonts w:hint="eastAsia" w:ascii="宋体" w:hAnsi="宋体" w:cs="宋体"/>
                <w:color w:val="000000"/>
                <w:kern w:val="0"/>
                <w:sz w:val="22"/>
              </w:rPr>
              <w:t>城管办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污水处理</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生活污水集中处理率，区达到</w:t>
            </w:r>
            <w:r>
              <w:rPr>
                <w:rFonts w:ascii="宋体" w:hAnsi="宋体" w:cs="宋体"/>
                <w:color w:val="000000"/>
                <w:kern w:val="0"/>
                <w:szCs w:val="21"/>
              </w:rPr>
              <w:t>95%</w:t>
            </w:r>
            <w:r>
              <w:rPr>
                <w:rFonts w:hint="eastAsia" w:ascii="宋体" w:hAnsi="宋体" w:cs="宋体"/>
                <w:color w:val="000000"/>
                <w:kern w:val="0"/>
                <w:szCs w:val="21"/>
              </w:rPr>
              <w:t>，县（建成区）达到</w:t>
            </w:r>
            <w:r>
              <w:rPr>
                <w:rFonts w:ascii="宋体" w:hAnsi="宋体" w:cs="宋体"/>
                <w:color w:val="000000"/>
                <w:kern w:val="0"/>
                <w:szCs w:val="21"/>
              </w:rPr>
              <w:t>85%</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生活污水集中处理率，区达到</w:t>
            </w:r>
            <w:r>
              <w:rPr>
                <w:rFonts w:ascii="宋体" w:hAnsi="宋体" w:cs="宋体"/>
                <w:color w:val="000000"/>
                <w:kern w:val="0"/>
                <w:szCs w:val="21"/>
              </w:rPr>
              <w:t>95%</w:t>
            </w:r>
            <w:r>
              <w:rPr>
                <w:rFonts w:hint="eastAsia" w:ascii="宋体" w:hAnsi="宋体" w:cs="宋体"/>
                <w:color w:val="000000"/>
                <w:kern w:val="0"/>
                <w:szCs w:val="21"/>
              </w:rPr>
              <w:t>，县（建成区）达到</w:t>
            </w:r>
            <w:r>
              <w:rPr>
                <w:rFonts w:ascii="宋体" w:hAnsi="宋体" w:cs="宋体"/>
                <w:color w:val="000000"/>
                <w:kern w:val="0"/>
                <w:szCs w:val="21"/>
              </w:rPr>
              <w:t>85%</w:t>
            </w:r>
            <w:r>
              <w:rPr>
                <w:rFonts w:hint="eastAsia" w:ascii="宋体" w:hAnsi="宋体" w:cs="宋体"/>
                <w:color w:val="000000"/>
                <w:kern w:val="0"/>
                <w:szCs w:val="21"/>
              </w:rPr>
              <w:t>。</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p>
        </w:tc>
        <w:tc>
          <w:tcPr>
            <w:tcW w:w="1559" w:type="dxa"/>
            <w:vAlign w:val="center"/>
          </w:tcPr>
          <w:p>
            <w:pPr>
              <w:widowControl/>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厕所</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建成区三类以上公厕比例≥</w:t>
            </w:r>
            <w:r>
              <w:rPr>
                <w:rFonts w:ascii="宋体" w:hAnsi="宋体" w:cs="宋体"/>
                <w:color w:val="000000"/>
                <w:kern w:val="0"/>
                <w:szCs w:val="21"/>
              </w:rPr>
              <w:t>80%</w:t>
            </w:r>
            <w:r>
              <w:rPr>
                <w:rFonts w:hint="eastAsia" w:ascii="宋体" w:hAnsi="宋体" w:cs="宋体"/>
                <w:color w:val="000000"/>
                <w:kern w:val="0"/>
                <w:szCs w:val="21"/>
              </w:rPr>
              <w:t>，农村无害化卫生厕所普及率≥</w:t>
            </w:r>
            <w:r>
              <w:rPr>
                <w:rFonts w:ascii="宋体" w:hAnsi="宋体" w:cs="宋体"/>
                <w:color w:val="000000"/>
                <w:kern w:val="0"/>
                <w:szCs w:val="21"/>
              </w:rPr>
              <w:t>60%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建成区三类以上公厕比例≥</w:t>
            </w:r>
            <w:r>
              <w:rPr>
                <w:rFonts w:ascii="宋体" w:hAnsi="宋体" w:cs="宋体"/>
                <w:color w:val="000000"/>
                <w:kern w:val="0"/>
                <w:szCs w:val="21"/>
              </w:rPr>
              <w:t>80%</w:t>
            </w:r>
            <w:r>
              <w:rPr>
                <w:rFonts w:hint="eastAsia" w:ascii="宋体" w:hAnsi="宋体" w:cs="宋体"/>
                <w:color w:val="000000"/>
                <w:kern w:val="0"/>
                <w:szCs w:val="21"/>
              </w:rPr>
              <w:t>，农村无害化卫生厕所普及率≥</w:t>
            </w:r>
            <w:r>
              <w:rPr>
                <w:rFonts w:ascii="宋体" w:hAnsi="宋体" w:cs="宋体"/>
                <w:color w:val="000000"/>
                <w:kern w:val="0"/>
                <w:szCs w:val="21"/>
              </w:rPr>
              <w:t>60%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ind w:firstLine="220" w:firstLineChars="100"/>
              <w:rPr>
                <w:rFonts w:ascii="宋体" w:hAnsi="宋体" w:cs="宋体"/>
                <w:color w:val="000000"/>
                <w:kern w:val="0"/>
                <w:sz w:val="22"/>
              </w:rPr>
            </w:pPr>
            <w:r>
              <w:rPr>
                <w:rFonts w:hint="eastAsia" w:ascii="宋体" w:hAnsi="宋体" w:cs="宋体"/>
                <w:color w:val="000000"/>
                <w:kern w:val="0"/>
                <w:sz w:val="22"/>
              </w:rPr>
              <w:t>城管办</w:t>
            </w:r>
          </w:p>
        </w:tc>
        <w:tc>
          <w:tcPr>
            <w:tcW w:w="155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城管办</w:t>
            </w:r>
          </w:p>
          <w:p>
            <w:pPr>
              <w:widowControl/>
              <w:jc w:val="center"/>
              <w:rPr>
                <w:rFonts w:ascii="宋体" w:hAnsi="宋体" w:cs="宋体"/>
                <w:color w:val="000000"/>
                <w:kern w:val="0"/>
                <w:sz w:val="22"/>
              </w:rPr>
            </w:pPr>
            <w:r>
              <w:rPr>
                <w:rFonts w:hint="eastAsia" w:ascii="宋体" w:hAnsi="宋体" w:cs="宋体"/>
                <w:color w:val="000000"/>
                <w:kern w:val="0"/>
                <w:sz w:val="22"/>
              </w:rPr>
              <w:t>健康办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绿地</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建城区人均公园绿地面积≥</w:t>
            </w:r>
            <w:r>
              <w:rPr>
                <w:rFonts w:ascii="宋体" w:hAnsi="宋体" w:cs="宋体"/>
                <w:color w:val="000000"/>
                <w:kern w:val="0"/>
                <w:szCs w:val="21"/>
              </w:rPr>
              <w:t>14.6</w:t>
            </w:r>
            <w:r>
              <w:rPr>
                <w:rFonts w:hint="eastAsia" w:ascii="宋体" w:hAnsi="宋体" w:cs="宋体"/>
                <w:color w:val="000000"/>
                <w:kern w:val="0"/>
                <w:szCs w:val="21"/>
              </w:rPr>
              <w:t>平方米。</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建城区人均公园绿地面积≥</w:t>
            </w:r>
            <w:r>
              <w:rPr>
                <w:rFonts w:ascii="宋体" w:hAnsi="宋体" w:cs="宋体"/>
                <w:color w:val="000000"/>
                <w:kern w:val="0"/>
                <w:szCs w:val="21"/>
              </w:rPr>
              <w:t>14.6</w:t>
            </w:r>
            <w:r>
              <w:rPr>
                <w:rFonts w:hint="eastAsia" w:ascii="宋体" w:hAnsi="宋体" w:cs="宋体"/>
                <w:color w:val="000000"/>
                <w:kern w:val="0"/>
                <w:szCs w:val="21"/>
              </w:rPr>
              <w:t>平方米。酌情得分。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r>
              <w:rPr>
                <w:rFonts w:hint="eastAsia" w:ascii="宋体" w:hAnsi="宋体" w:cs="宋体"/>
                <w:color w:val="000000"/>
                <w:kern w:val="0"/>
                <w:sz w:val="22"/>
              </w:rPr>
              <w:t>城管办</w:t>
            </w:r>
          </w:p>
        </w:tc>
        <w:tc>
          <w:tcPr>
            <w:tcW w:w="1559" w:type="dxa"/>
            <w:vAlign w:val="center"/>
          </w:tcPr>
          <w:p>
            <w:pPr>
              <w:widowControl/>
              <w:jc w:val="center"/>
              <w:rPr>
                <w:rFonts w:ascii="宋体"/>
                <w:color w:val="000000"/>
                <w:kern w:val="0"/>
                <w:sz w:val="22"/>
                <w:szCs w:val="21"/>
              </w:rPr>
            </w:pPr>
            <w:r>
              <w:rPr>
                <w:rFonts w:hint="eastAsia" w:ascii="宋体" w:hAnsi="宋体" w:cs="宋体"/>
                <w:color w:val="000000"/>
                <w:kern w:val="0"/>
                <w:sz w:val="22"/>
              </w:rPr>
              <w:t>城管办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住房</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城镇居民人均住房面积达</w:t>
            </w:r>
            <w:r>
              <w:rPr>
                <w:rFonts w:ascii="宋体" w:hAnsi="宋体" w:cs="宋体"/>
                <w:color w:val="000000"/>
                <w:kern w:val="0"/>
                <w:szCs w:val="21"/>
              </w:rPr>
              <w:t>35</w:t>
            </w:r>
            <w:r>
              <w:rPr>
                <w:rFonts w:hint="eastAsia" w:ascii="宋体" w:hAnsi="宋体" w:cs="宋体"/>
                <w:color w:val="000000"/>
                <w:kern w:val="0"/>
                <w:szCs w:val="21"/>
              </w:rPr>
              <w:t>平方米。</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城镇居民人均住房面积达</w:t>
            </w:r>
            <w:r>
              <w:rPr>
                <w:rFonts w:ascii="宋体" w:hAnsi="宋体" w:cs="宋体"/>
                <w:color w:val="000000"/>
                <w:kern w:val="0"/>
                <w:szCs w:val="21"/>
              </w:rPr>
              <w:t>35</w:t>
            </w:r>
            <w:r>
              <w:rPr>
                <w:rFonts w:hint="eastAsia" w:ascii="宋体" w:hAnsi="宋体" w:cs="宋体"/>
                <w:color w:val="000000"/>
                <w:kern w:val="0"/>
                <w:szCs w:val="21"/>
              </w:rPr>
              <w:t>平方米。酌情得分。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p>
        </w:tc>
        <w:tc>
          <w:tcPr>
            <w:tcW w:w="1559" w:type="dxa"/>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体育设施</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人均体育场地面积达到</w:t>
            </w:r>
            <w:r>
              <w:rPr>
                <w:rFonts w:ascii="宋体" w:hAnsi="宋体" w:cs="宋体"/>
                <w:color w:val="000000"/>
                <w:kern w:val="0"/>
                <w:szCs w:val="21"/>
              </w:rPr>
              <w:t>1.8</w:t>
            </w:r>
            <w:r>
              <w:rPr>
                <w:rFonts w:hint="eastAsia" w:ascii="宋体" w:hAnsi="宋体" w:cs="宋体"/>
                <w:color w:val="000000"/>
                <w:kern w:val="0"/>
                <w:szCs w:val="21"/>
              </w:rPr>
              <w:t>平方米。</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人均体育场地面积达到</w:t>
            </w:r>
            <w:r>
              <w:rPr>
                <w:rFonts w:ascii="宋体" w:hAnsi="宋体" w:cs="宋体"/>
                <w:color w:val="000000"/>
                <w:kern w:val="0"/>
                <w:szCs w:val="21"/>
              </w:rPr>
              <w:t>1.8</w:t>
            </w:r>
            <w:r>
              <w:rPr>
                <w:rFonts w:hint="eastAsia" w:ascii="宋体" w:hAnsi="宋体" w:cs="宋体"/>
                <w:color w:val="000000"/>
                <w:kern w:val="0"/>
                <w:szCs w:val="21"/>
              </w:rPr>
              <w:t>平方米。酌情得分。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ind w:firstLine="440" w:firstLineChars="200"/>
              <w:rPr>
                <w:rFonts w:ascii="宋体"/>
                <w:color w:val="000000"/>
                <w:kern w:val="0"/>
                <w:sz w:val="22"/>
                <w:szCs w:val="21"/>
              </w:rPr>
            </w:pPr>
            <w:r>
              <w:rPr>
                <w:rFonts w:hint="eastAsia" w:ascii="宋体" w:hAnsi="宋体" w:cs="宋体"/>
                <w:color w:val="000000"/>
                <w:kern w:val="0"/>
                <w:sz w:val="22"/>
              </w:rPr>
              <w:t>健康办</w:t>
            </w:r>
          </w:p>
        </w:tc>
        <w:tc>
          <w:tcPr>
            <w:tcW w:w="1559" w:type="dxa"/>
            <w:vAlign w:val="center"/>
          </w:tcPr>
          <w:p>
            <w:pPr>
              <w:widowControl/>
              <w:jc w:val="center"/>
              <w:rPr>
                <w:rFonts w:ascii="宋体"/>
                <w:color w:val="000000"/>
                <w:kern w:val="0"/>
                <w:sz w:val="22"/>
                <w:szCs w:val="21"/>
              </w:rPr>
            </w:pPr>
            <w:r>
              <w:rPr>
                <w:rFonts w:hint="eastAsia" w:ascii="宋体" w:hAnsi="宋体" w:cs="宋体"/>
                <w:color w:val="000000"/>
                <w:kern w:val="0"/>
                <w:sz w:val="22"/>
              </w:rPr>
              <w:t>健康办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社会保障</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基本养老保险参保率达到</w:t>
            </w:r>
            <w:r>
              <w:rPr>
                <w:rFonts w:ascii="宋体" w:hAnsi="宋体" w:cs="宋体"/>
                <w:color w:val="000000"/>
                <w:kern w:val="0"/>
                <w:szCs w:val="21"/>
              </w:rPr>
              <w:t>90%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基本养老保险参保率达到</w:t>
            </w:r>
            <w:r>
              <w:rPr>
                <w:rFonts w:ascii="宋体" w:hAnsi="宋体" w:cs="宋体"/>
                <w:color w:val="000000"/>
                <w:kern w:val="0"/>
                <w:szCs w:val="21"/>
              </w:rPr>
              <w:t>90%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p>
        </w:tc>
        <w:tc>
          <w:tcPr>
            <w:tcW w:w="1559" w:type="dxa"/>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养老</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每千名老年人口拥有养老床位数达到</w:t>
            </w:r>
            <w:r>
              <w:rPr>
                <w:rFonts w:ascii="宋体" w:hAnsi="宋体" w:cs="宋体"/>
                <w:color w:val="000000"/>
                <w:kern w:val="0"/>
                <w:szCs w:val="21"/>
              </w:rPr>
              <w:t>35</w:t>
            </w:r>
            <w:r>
              <w:rPr>
                <w:rFonts w:hint="eastAsia" w:ascii="宋体" w:hAnsi="宋体" w:cs="宋体"/>
                <w:color w:val="000000"/>
                <w:kern w:val="0"/>
                <w:szCs w:val="21"/>
              </w:rPr>
              <w:t>张。</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每千名老年人口拥有养老床位数达到</w:t>
            </w:r>
            <w:r>
              <w:rPr>
                <w:rFonts w:ascii="宋体" w:hAnsi="宋体" w:cs="宋体"/>
                <w:color w:val="000000"/>
                <w:kern w:val="0"/>
                <w:szCs w:val="21"/>
              </w:rPr>
              <w:t>35</w:t>
            </w:r>
            <w:r>
              <w:rPr>
                <w:rFonts w:hint="eastAsia" w:ascii="宋体" w:hAnsi="宋体" w:cs="宋体"/>
                <w:color w:val="000000"/>
                <w:kern w:val="0"/>
                <w:szCs w:val="21"/>
              </w:rPr>
              <w:t>张。酌情得分。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r>
              <w:rPr>
                <w:rFonts w:hint="eastAsia" w:ascii="宋体" w:hAnsi="宋体" w:cs="宋体"/>
                <w:color w:val="000000"/>
                <w:kern w:val="0"/>
                <w:sz w:val="22"/>
              </w:rPr>
              <w:t>城管办</w:t>
            </w:r>
          </w:p>
        </w:tc>
        <w:tc>
          <w:tcPr>
            <w:tcW w:w="1559" w:type="dxa"/>
            <w:vAlign w:val="center"/>
          </w:tcPr>
          <w:p>
            <w:pPr>
              <w:widowControl/>
              <w:jc w:val="center"/>
              <w:rPr>
                <w:rFonts w:ascii="宋体"/>
                <w:color w:val="000000"/>
                <w:kern w:val="0"/>
                <w:sz w:val="22"/>
                <w:szCs w:val="21"/>
              </w:rPr>
            </w:pPr>
            <w:r>
              <w:rPr>
                <w:rFonts w:hint="eastAsia" w:ascii="宋体" w:hAnsi="宋体" w:cs="宋体"/>
                <w:color w:val="000000"/>
                <w:kern w:val="0"/>
                <w:sz w:val="22"/>
              </w:rPr>
              <w:t>城管办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就业</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城镇登记失业率控制在</w:t>
            </w:r>
            <w:r>
              <w:rPr>
                <w:rFonts w:ascii="宋体" w:hAnsi="宋体" w:cs="宋体"/>
                <w:color w:val="000000"/>
                <w:kern w:val="0"/>
                <w:szCs w:val="21"/>
              </w:rPr>
              <w:t>5%</w:t>
            </w:r>
            <w:r>
              <w:rPr>
                <w:rFonts w:hint="eastAsia" w:ascii="宋体" w:hAnsi="宋体" w:cs="宋体"/>
                <w:color w:val="000000"/>
                <w:kern w:val="0"/>
                <w:szCs w:val="21"/>
              </w:rPr>
              <w:t>以内。</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城镇登记失业率控制在</w:t>
            </w:r>
            <w:r>
              <w:rPr>
                <w:rFonts w:ascii="宋体" w:hAnsi="宋体" w:cs="宋体"/>
                <w:color w:val="000000"/>
                <w:kern w:val="0"/>
                <w:szCs w:val="21"/>
              </w:rPr>
              <w:t>5%</w:t>
            </w:r>
            <w:r>
              <w:rPr>
                <w:rFonts w:hint="eastAsia" w:ascii="宋体" w:hAnsi="宋体" w:cs="宋体"/>
                <w:color w:val="000000"/>
                <w:kern w:val="0"/>
                <w:szCs w:val="21"/>
              </w:rPr>
              <w:t>以内。酌情得分。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p>
        </w:tc>
        <w:tc>
          <w:tcPr>
            <w:tcW w:w="1559" w:type="dxa"/>
            <w:vAlign w:val="center"/>
          </w:tcPr>
          <w:p>
            <w:pPr>
              <w:widowControl/>
              <w:jc w:val="center"/>
              <w:rPr>
                <w:rFonts w:ascii="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13.</w:t>
            </w:r>
            <w:r>
              <w:rPr>
                <w:rFonts w:hint="eastAsia" w:ascii="宋体" w:hAnsi="宋体" w:cs="宋体"/>
                <w:color w:val="000000"/>
                <w:kern w:val="0"/>
                <w:szCs w:val="21"/>
              </w:rPr>
              <w:t>文化教育</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高中阶段教育毛入学率达到</w:t>
            </w:r>
            <w:r>
              <w:rPr>
                <w:rFonts w:ascii="宋体" w:hAnsi="宋体" w:cs="宋体"/>
                <w:color w:val="000000"/>
                <w:kern w:val="0"/>
                <w:szCs w:val="21"/>
              </w:rPr>
              <w:t>90%</w:t>
            </w:r>
            <w:r>
              <w:rPr>
                <w:rFonts w:hint="eastAsia" w:ascii="宋体" w:hAnsi="宋体" w:cs="宋体"/>
                <w:color w:val="000000"/>
                <w:kern w:val="0"/>
                <w:szCs w:val="21"/>
              </w:rPr>
              <w:t>。</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高中阶段教育毛入学率达到</w:t>
            </w:r>
            <w:r>
              <w:rPr>
                <w:rFonts w:ascii="宋体" w:hAnsi="宋体" w:cs="宋体"/>
                <w:color w:val="000000"/>
                <w:kern w:val="0"/>
                <w:szCs w:val="21"/>
              </w:rPr>
              <w:t>90%</w:t>
            </w:r>
            <w:r>
              <w:rPr>
                <w:rFonts w:hint="eastAsia" w:ascii="宋体" w:hAnsi="宋体" w:cs="宋体"/>
                <w:color w:val="000000"/>
                <w:kern w:val="0"/>
                <w:szCs w:val="21"/>
              </w:rPr>
              <w:t>。酌情得分。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627" w:type="dxa"/>
            <w:vAlign w:val="center"/>
          </w:tcPr>
          <w:p>
            <w:pPr>
              <w:widowControl/>
              <w:jc w:val="center"/>
              <w:rPr>
                <w:rFonts w:ascii="宋体"/>
                <w:color w:val="000000"/>
                <w:kern w:val="0"/>
                <w:sz w:val="22"/>
                <w:szCs w:val="21"/>
              </w:rPr>
            </w:pPr>
            <w:r>
              <w:rPr>
                <w:rFonts w:ascii="宋体"/>
                <w:color w:val="000000"/>
                <w:kern w:val="0"/>
                <w:sz w:val="22"/>
                <w:szCs w:val="21"/>
              </w:rPr>
              <w:t>文教办</w:t>
            </w:r>
          </w:p>
        </w:tc>
        <w:tc>
          <w:tcPr>
            <w:tcW w:w="1559" w:type="dxa"/>
            <w:vAlign w:val="center"/>
          </w:tcPr>
          <w:p>
            <w:pPr>
              <w:widowControl/>
              <w:jc w:val="center"/>
              <w:rPr>
                <w:rFonts w:ascii="宋体"/>
                <w:color w:val="000000"/>
                <w:kern w:val="0"/>
                <w:sz w:val="22"/>
                <w:szCs w:val="21"/>
              </w:rPr>
            </w:pPr>
            <w:r>
              <w:rPr>
                <w:rFonts w:ascii="宋体"/>
                <w:color w:val="000000"/>
                <w:kern w:val="0"/>
                <w:sz w:val="22"/>
                <w:szCs w:val="21"/>
              </w:rPr>
              <w:t>文教办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56" w:type="dxa"/>
            <w:vMerge w:val="restart"/>
            <w:vAlign w:val="center"/>
          </w:tcPr>
          <w:p>
            <w:pPr>
              <w:widowControl/>
              <w:jc w:val="center"/>
              <w:rPr>
                <w:rFonts w:ascii="宋体"/>
                <w:color w:val="000000"/>
                <w:kern w:val="0"/>
                <w:szCs w:val="21"/>
              </w:rPr>
            </w:pPr>
            <w:r>
              <w:rPr>
                <w:rFonts w:hint="eastAsia" w:ascii="宋体" w:hAnsi="宋体" w:cs="宋体"/>
                <w:color w:val="000000"/>
                <w:kern w:val="0"/>
                <w:szCs w:val="21"/>
              </w:rPr>
              <w:t>六、健康人群</w:t>
            </w:r>
            <w:r>
              <w:rPr>
                <w:rFonts w:ascii="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150</w:t>
            </w:r>
            <w:r>
              <w:rPr>
                <w:rFonts w:hint="eastAsia" w:ascii="宋体" w:hAnsi="宋体" w:cs="宋体"/>
                <w:color w:val="000000"/>
                <w:kern w:val="0"/>
                <w:szCs w:val="21"/>
              </w:rPr>
              <w:t>分）</w:t>
            </w: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健康素养</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居民健康素养水平达到本市平均水平，并在原有基础上有所提高。</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高于本省平均水平</w:t>
            </w:r>
            <w:r>
              <w:rPr>
                <w:rFonts w:ascii="宋体" w:hAnsi="宋体" w:cs="宋体"/>
                <w:color w:val="000000"/>
                <w:kern w:val="0"/>
                <w:szCs w:val="21"/>
              </w:rPr>
              <w:t>20%</w:t>
            </w:r>
            <w:r>
              <w:rPr>
                <w:rFonts w:hint="eastAsia" w:ascii="宋体" w:hAnsi="宋体" w:cs="宋体"/>
                <w:color w:val="000000"/>
                <w:kern w:val="0"/>
                <w:szCs w:val="21"/>
              </w:rPr>
              <w:t>得</w:t>
            </w:r>
            <w:r>
              <w:rPr>
                <w:rFonts w:ascii="宋体" w:hAnsi="宋体" w:cs="宋体"/>
                <w:color w:val="000000"/>
                <w:kern w:val="0"/>
                <w:szCs w:val="21"/>
              </w:rPr>
              <w:t>50</w:t>
            </w:r>
            <w:r>
              <w:rPr>
                <w:rFonts w:hint="eastAsia" w:ascii="宋体" w:hAnsi="宋体" w:cs="宋体"/>
                <w:color w:val="000000"/>
                <w:kern w:val="0"/>
                <w:szCs w:val="21"/>
              </w:rPr>
              <w:t>分，达到本省平均水平得</w:t>
            </w:r>
            <w:r>
              <w:rPr>
                <w:rFonts w:ascii="宋体" w:hAnsi="宋体" w:cs="宋体"/>
                <w:color w:val="000000"/>
                <w:kern w:val="0"/>
                <w:szCs w:val="21"/>
              </w:rPr>
              <w:t>30</w:t>
            </w:r>
            <w:r>
              <w:rPr>
                <w:rFonts w:hint="eastAsia" w:ascii="宋体" w:hAnsi="宋体" w:cs="宋体"/>
                <w:color w:val="000000"/>
                <w:kern w:val="0"/>
                <w:szCs w:val="21"/>
              </w:rPr>
              <w:t>分，低于平均水平</w:t>
            </w:r>
            <w:r>
              <w:rPr>
                <w:rFonts w:ascii="宋体" w:hAnsi="宋体" w:cs="宋体"/>
                <w:color w:val="000000"/>
                <w:kern w:val="0"/>
                <w:szCs w:val="21"/>
              </w:rPr>
              <w:t>30%</w:t>
            </w:r>
            <w:r>
              <w:rPr>
                <w:rFonts w:hint="eastAsia" w:ascii="宋体" w:hAnsi="宋体" w:cs="宋体"/>
                <w:color w:val="000000"/>
                <w:kern w:val="0"/>
                <w:szCs w:val="21"/>
              </w:rPr>
              <w:t>以内得</w:t>
            </w:r>
            <w:r>
              <w:rPr>
                <w:rFonts w:ascii="宋体" w:hAnsi="宋体" w:cs="宋体"/>
                <w:color w:val="000000"/>
                <w:kern w:val="0"/>
                <w:szCs w:val="21"/>
              </w:rPr>
              <w:t>10</w:t>
            </w:r>
            <w:r>
              <w:rPr>
                <w:rFonts w:hint="eastAsia" w:ascii="宋体" w:hAnsi="宋体" w:cs="宋体"/>
                <w:color w:val="000000"/>
                <w:kern w:val="0"/>
                <w:szCs w:val="21"/>
              </w:rPr>
              <w:t>分</w:t>
            </w:r>
            <w:r>
              <w:rPr>
                <w:rFonts w:ascii="宋体" w:cs="宋体"/>
                <w:color w:val="000000"/>
                <w:kern w:val="0"/>
                <w:szCs w:val="21"/>
              </w:rPr>
              <w:t>,</w:t>
            </w:r>
            <w:r>
              <w:rPr>
                <w:rFonts w:hint="eastAsia" w:ascii="宋体" w:hAnsi="宋体" w:cs="宋体"/>
                <w:color w:val="000000"/>
                <w:kern w:val="0"/>
                <w:szCs w:val="21"/>
              </w:rPr>
              <w:t>比平均水平低</w:t>
            </w:r>
            <w:r>
              <w:rPr>
                <w:rFonts w:ascii="宋体" w:hAnsi="宋体" w:cs="宋体"/>
                <w:color w:val="000000"/>
                <w:kern w:val="0"/>
                <w:szCs w:val="21"/>
              </w:rPr>
              <w:t>30%</w:t>
            </w:r>
            <w:r>
              <w:rPr>
                <w:rFonts w:hint="eastAsia" w:ascii="宋体" w:hAnsi="宋体" w:cs="宋体"/>
                <w:color w:val="000000"/>
                <w:kern w:val="0"/>
                <w:szCs w:val="21"/>
              </w:rPr>
              <w:t>以上不得分。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50</w:t>
            </w:r>
          </w:p>
        </w:tc>
        <w:tc>
          <w:tcPr>
            <w:tcW w:w="1627"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健康办</w:t>
            </w:r>
          </w:p>
          <w:p>
            <w:pPr>
              <w:widowControl/>
              <w:jc w:val="center"/>
              <w:rPr>
                <w:rFonts w:ascii="宋体" w:hAnsi="宋体" w:cs="宋体"/>
                <w:color w:val="000000"/>
                <w:kern w:val="0"/>
                <w:szCs w:val="21"/>
              </w:rPr>
            </w:pPr>
            <w:r>
              <w:rPr>
                <w:rFonts w:hint="eastAsia" w:ascii="宋体" w:hAnsi="宋体" w:cs="宋体"/>
                <w:color w:val="000000"/>
                <w:kern w:val="0"/>
                <w:szCs w:val="21"/>
              </w:rPr>
              <w:t>（泰达街爱卫办）</w:t>
            </w:r>
          </w:p>
          <w:p>
            <w:pPr>
              <w:widowControl/>
              <w:jc w:val="center"/>
              <w:rPr>
                <w:rFonts w:ascii="宋体"/>
                <w:color w:val="000000"/>
                <w:kern w:val="0"/>
                <w:szCs w:val="21"/>
              </w:rPr>
            </w:pPr>
          </w:p>
        </w:tc>
        <w:tc>
          <w:tcPr>
            <w:tcW w:w="155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成人吸烟率</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成人吸烟率低于本市平均水平，并在原有基础上有所降低。</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比本市平均水平低</w:t>
            </w:r>
            <w:r>
              <w:rPr>
                <w:rFonts w:ascii="宋体" w:hAnsi="宋体" w:cs="宋体"/>
                <w:color w:val="000000"/>
                <w:kern w:val="0"/>
                <w:szCs w:val="21"/>
              </w:rPr>
              <w:t>20%</w:t>
            </w:r>
            <w:r>
              <w:rPr>
                <w:rFonts w:hint="eastAsia" w:ascii="宋体" w:hAnsi="宋体" w:cs="宋体"/>
                <w:color w:val="000000"/>
                <w:kern w:val="0"/>
                <w:szCs w:val="21"/>
              </w:rPr>
              <w:t>得</w:t>
            </w:r>
            <w:r>
              <w:rPr>
                <w:rFonts w:ascii="宋体" w:hAnsi="宋体" w:cs="宋体"/>
                <w:color w:val="000000"/>
                <w:kern w:val="0"/>
                <w:szCs w:val="21"/>
              </w:rPr>
              <w:t>40</w:t>
            </w:r>
            <w:r>
              <w:rPr>
                <w:rFonts w:hint="eastAsia" w:ascii="宋体" w:hAnsi="宋体" w:cs="宋体"/>
                <w:color w:val="000000"/>
                <w:kern w:val="0"/>
                <w:szCs w:val="21"/>
              </w:rPr>
              <w:t>分</w:t>
            </w:r>
            <w:r>
              <w:rPr>
                <w:rFonts w:ascii="宋体" w:cs="宋体"/>
                <w:color w:val="000000"/>
                <w:kern w:val="0"/>
                <w:szCs w:val="21"/>
              </w:rPr>
              <w:t>,</w:t>
            </w:r>
            <w:r>
              <w:rPr>
                <w:rFonts w:hint="eastAsia" w:ascii="宋体" w:hAnsi="宋体" w:cs="宋体"/>
                <w:color w:val="000000"/>
                <w:kern w:val="0"/>
                <w:szCs w:val="21"/>
              </w:rPr>
              <w:t>低于本市平均水平得</w:t>
            </w:r>
            <w:r>
              <w:rPr>
                <w:rFonts w:ascii="宋体" w:hAnsi="宋体" w:cs="宋体"/>
                <w:color w:val="000000"/>
                <w:kern w:val="0"/>
                <w:szCs w:val="21"/>
              </w:rPr>
              <w:t>30</w:t>
            </w:r>
            <w:r>
              <w:rPr>
                <w:rFonts w:hint="eastAsia" w:ascii="宋体" w:hAnsi="宋体" w:cs="宋体"/>
                <w:color w:val="000000"/>
                <w:kern w:val="0"/>
                <w:szCs w:val="21"/>
              </w:rPr>
              <w:t>分</w:t>
            </w:r>
            <w:r>
              <w:rPr>
                <w:rFonts w:ascii="宋体" w:cs="宋体"/>
                <w:color w:val="000000"/>
                <w:kern w:val="0"/>
                <w:szCs w:val="21"/>
              </w:rPr>
              <w:t>,</w:t>
            </w:r>
            <w:r>
              <w:rPr>
                <w:rFonts w:hint="eastAsia" w:ascii="宋体" w:hAnsi="宋体" w:cs="宋体"/>
                <w:color w:val="000000"/>
                <w:kern w:val="0"/>
                <w:szCs w:val="21"/>
              </w:rPr>
              <w:t>比本市平均水平高</w:t>
            </w:r>
            <w:r>
              <w:rPr>
                <w:rFonts w:ascii="宋体" w:hAnsi="宋体" w:cs="宋体"/>
                <w:color w:val="000000"/>
                <w:kern w:val="0"/>
                <w:szCs w:val="21"/>
              </w:rPr>
              <w:t>30%</w:t>
            </w:r>
            <w:r>
              <w:rPr>
                <w:rFonts w:hint="eastAsia" w:ascii="宋体" w:hAnsi="宋体" w:cs="宋体"/>
                <w:color w:val="000000"/>
                <w:kern w:val="0"/>
                <w:szCs w:val="21"/>
              </w:rPr>
              <w:t>以内得</w:t>
            </w:r>
            <w:r>
              <w:rPr>
                <w:rFonts w:ascii="宋体" w:hAnsi="宋体" w:cs="宋体"/>
                <w:color w:val="000000"/>
                <w:kern w:val="0"/>
                <w:szCs w:val="21"/>
              </w:rPr>
              <w:t>10</w:t>
            </w:r>
            <w:r>
              <w:rPr>
                <w:rFonts w:hint="eastAsia" w:ascii="宋体" w:hAnsi="宋体" w:cs="宋体"/>
                <w:color w:val="000000"/>
                <w:kern w:val="0"/>
                <w:szCs w:val="21"/>
              </w:rPr>
              <w:t>分</w:t>
            </w:r>
            <w:r>
              <w:rPr>
                <w:rFonts w:ascii="宋体" w:cs="宋体"/>
                <w:color w:val="000000"/>
                <w:kern w:val="0"/>
                <w:szCs w:val="21"/>
              </w:rPr>
              <w:t>,</w:t>
            </w:r>
            <w:r>
              <w:rPr>
                <w:rFonts w:hint="eastAsia" w:ascii="宋体" w:hAnsi="宋体" w:cs="宋体"/>
                <w:color w:val="000000"/>
                <w:kern w:val="0"/>
                <w:szCs w:val="21"/>
              </w:rPr>
              <w:t>比本市平均水平高</w:t>
            </w:r>
            <w:r>
              <w:rPr>
                <w:rFonts w:ascii="宋体" w:hAnsi="宋体" w:cs="宋体"/>
                <w:color w:val="000000"/>
                <w:kern w:val="0"/>
                <w:szCs w:val="21"/>
              </w:rPr>
              <w:t>30%</w:t>
            </w:r>
            <w:r>
              <w:rPr>
                <w:rFonts w:hint="eastAsia" w:ascii="宋体" w:hAnsi="宋体" w:cs="宋体"/>
                <w:color w:val="000000"/>
                <w:kern w:val="0"/>
                <w:szCs w:val="21"/>
              </w:rPr>
              <w:t>不得分。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1627"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健康办</w:t>
            </w:r>
          </w:p>
          <w:p>
            <w:pPr>
              <w:widowControl/>
              <w:jc w:val="center"/>
              <w:rPr>
                <w:rFonts w:ascii="宋体" w:hAnsi="宋体" w:cs="宋体"/>
                <w:color w:val="000000"/>
                <w:kern w:val="0"/>
                <w:szCs w:val="21"/>
              </w:rPr>
            </w:pPr>
            <w:r>
              <w:rPr>
                <w:rFonts w:hint="eastAsia" w:ascii="宋体" w:hAnsi="宋体" w:cs="宋体"/>
                <w:color w:val="000000"/>
                <w:kern w:val="0"/>
                <w:szCs w:val="21"/>
              </w:rPr>
              <w:t>（泰达街爱卫办）</w:t>
            </w:r>
          </w:p>
          <w:p>
            <w:pPr>
              <w:widowControl/>
              <w:jc w:val="center"/>
              <w:rPr>
                <w:rFonts w:ascii="宋体"/>
                <w:color w:val="000000"/>
                <w:kern w:val="0"/>
                <w:szCs w:val="21"/>
              </w:rPr>
            </w:pPr>
          </w:p>
        </w:tc>
        <w:tc>
          <w:tcPr>
            <w:tcW w:w="155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经常参加体育锻炼人口比例</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经常参加体育锻炼的人口比例高于本市平均水平，并在原有基础上有所提高。</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经常参加体育锻炼的人口比例≥</w:t>
            </w:r>
            <w:r>
              <w:rPr>
                <w:rFonts w:ascii="宋体" w:hAnsi="宋体" w:cs="宋体"/>
                <w:color w:val="000000"/>
                <w:kern w:val="0"/>
                <w:szCs w:val="21"/>
              </w:rPr>
              <w:t>32%</w:t>
            </w:r>
            <w:r>
              <w:rPr>
                <w:rFonts w:hint="eastAsia" w:ascii="宋体" w:hAnsi="宋体" w:cs="宋体"/>
                <w:color w:val="000000"/>
                <w:kern w:val="0"/>
                <w:szCs w:val="21"/>
              </w:rPr>
              <w:t>得</w:t>
            </w:r>
            <w:r>
              <w:rPr>
                <w:rFonts w:ascii="宋体" w:hAnsi="宋体" w:cs="宋体"/>
                <w:color w:val="000000"/>
                <w:kern w:val="0"/>
                <w:szCs w:val="21"/>
              </w:rPr>
              <w:t>30</w:t>
            </w:r>
            <w:r>
              <w:rPr>
                <w:rFonts w:hint="eastAsia" w:ascii="宋体" w:hAnsi="宋体" w:cs="宋体"/>
                <w:color w:val="000000"/>
                <w:kern w:val="0"/>
                <w:szCs w:val="21"/>
              </w:rPr>
              <w:t>分</w:t>
            </w:r>
            <w:r>
              <w:rPr>
                <w:rFonts w:ascii="宋体" w:hAnsi="宋体" w:cs="宋体"/>
                <w:color w:val="000000"/>
                <w:kern w:val="0"/>
                <w:szCs w:val="21"/>
              </w:rPr>
              <w:t>,25%</w:t>
            </w:r>
            <w:r>
              <w:rPr>
                <w:rFonts w:hint="eastAsia" w:ascii="宋体" w:hAnsi="宋体" w:cs="宋体"/>
                <w:color w:val="000000"/>
                <w:kern w:val="0"/>
                <w:szCs w:val="21"/>
              </w:rPr>
              <w:t>（含）</w:t>
            </w:r>
            <w:r>
              <w:rPr>
                <w:rFonts w:ascii="宋体" w:hAnsi="宋体" w:cs="宋体"/>
                <w:color w:val="000000"/>
                <w:kern w:val="0"/>
                <w:szCs w:val="21"/>
              </w:rPr>
              <w:t>~32%</w:t>
            </w:r>
            <w:r>
              <w:rPr>
                <w:rFonts w:hint="eastAsia" w:ascii="宋体" w:hAnsi="宋体" w:cs="宋体"/>
                <w:color w:val="000000"/>
                <w:kern w:val="0"/>
                <w:szCs w:val="21"/>
              </w:rPr>
              <w:t>之间得</w:t>
            </w:r>
            <w:r>
              <w:rPr>
                <w:rFonts w:ascii="宋体" w:hAnsi="宋体" w:cs="宋体"/>
                <w:color w:val="000000"/>
                <w:kern w:val="0"/>
                <w:szCs w:val="21"/>
              </w:rPr>
              <w:t>15</w:t>
            </w:r>
            <w:r>
              <w:rPr>
                <w:rFonts w:hint="eastAsia" w:ascii="宋体" w:hAnsi="宋体" w:cs="宋体"/>
                <w:color w:val="000000"/>
                <w:kern w:val="0"/>
                <w:szCs w:val="21"/>
              </w:rPr>
              <w:t>分</w:t>
            </w:r>
            <w:r>
              <w:rPr>
                <w:rFonts w:ascii="宋体" w:hAnsi="宋体" w:cs="宋体"/>
                <w:color w:val="000000"/>
                <w:kern w:val="0"/>
                <w:szCs w:val="21"/>
              </w:rPr>
              <w:t>,20%</w:t>
            </w:r>
            <w:r>
              <w:rPr>
                <w:rFonts w:hint="eastAsia" w:ascii="宋体" w:hAnsi="宋体" w:cs="宋体"/>
                <w:color w:val="000000"/>
                <w:kern w:val="0"/>
                <w:szCs w:val="21"/>
              </w:rPr>
              <w:t>（含）</w:t>
            </w:r>
            <w:r>
              <w:rPr>
                <w:rFonts w:ascii="宋体" w:hAnsi="宋体" w:cs="宋体"/>
                <w:color w:val="000000"/>
                <w:kern w:val="0"/>
                <w:szCs w:val="21"/>
              </w:rPr>
              <w:t>~25%</w:t>
            </w:r>
            <w:r>
              <w:rPr>
                <w:rFonts w:hint="eastAsia" w:ascii="宋体" w:hAnsi="宋体" w:cs="宋体"/>
                <w:color w:val="000000"/>
                <w:kern w:val="0"/>
                <w:szCs w:val="21"/>
              </w:rPr>
              <w:t>之间得</w:t>
            </w:r>
            <w:r>
              <w:rPr>
                <w:rFonts w:ascii="宋体" w:hAnsi="宋体" w:cs="宋体"/>
                <w:color w:val="000000"/>
                <w:kern w:val="0"/>
                <w:szCs w:val="21"/>
              </w:rPr>
              <w:t>5</w:t>
            </w:r>
            <w:r>
              <w:rPr>
                <w:rFonts w:hint="eastAsia" w:ascii="宋体" w:hAnsi="宋体" w:cs="宋体"/>
                <w:color w:val="000000"/>
                <w:kern w:val="0"/>
                <w:szCs w:val="21"/>
              </w:rPr>
              <w:t>分</w:t>
            </w:r>
            <w:r>
              <w:rPr>
                <w:rFonts w:ascii="宋体" w:cs="宋体"/>
                <w:color w:val="000000"/>
                <w:kern w:val="0"/>
                <w:szCs w:val="21"/>
              </w:rPr>
              <w:t>,</w:t>
            </w:r>
            <w:r>
              <w:rPr>
                <w:rFonts w:hint="eastAsia" w:ascii="宋体" w:hAnsi="宋体" w:cs="宋体"/>
                <w:color w:val="000000"/>
                <w:kern w:val="0"/>
                <w:szCs w:val="21"/>
              </w:rPr>
              <w:t>低于</w:t>
            </w:r>
            <w:r>
              <w:rPr>
                <w:rFonts w:ascii="宋体" w:hAnsi="宋体" w:cs="宋体"/>
                <w:color w:val="000000"/>
                <w:kern w:val="0"/>
                <w:szCs w:val="21"/>
              </w:rPr>
              <w:t>20%</w:t>
            </w:r>
            <w:r>
              <w:rPr>
                <w:rFonts w:hint="eastAsia" w:ascii="宋体" w:hAnsi="宋体" w:cs="宋体"/>
                <w:color w:val="000000"/>
                <w:kern w:val="0"/>
                <w:szCs w:val="21"/>
              </w:rPr>
              <w:t>不得分。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627"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健康办</w:t>
            </w:r>
          </w:p>
          <w:p>
            <w:pPr>
              <w:widowControl/>
              <w:jc w:val="center"/>
              <w:rPr>
                <w:rFonts w:ascii="宋体" w:hAnsi="宋体" w:cs="宋体"/>
                <w:color w:val="000000"/>
                <w:kern w:val="0"/>
                <w:szCs w:val="21"/>
              </w:rPr>
            </w:pPr>
            <w:r>
              <w:rPr>
                <w:rFonts w:hint="eastAsia" w:ascii="宋体" w:hAnsi="宋体" w:cs="宋体"/>
                <w:color w:val="000000"/>
                <w:kern w:val="0"/>
                <w:szCs w:val="21"/>
              </w:rPr>
              <w:t>（泰达街爱卫办）</w:t>
            </w:r>
          </w:p>
          <w:p>
            <w:pPr>
              <w:widowControl/>
              <w:jc w:val="center"/>
              <w:rPr>
                <w:rFonts w:ascii="宋体"/>
                <w:color w:val="000000"/>
                <w:kern w:val="0"/>
                <w:szCs w:val="21"/>
              </w:rPr>
            </w:pPr>
          </w:p>
        </w:tc>
        <w:tc>
          <w:tcPr>
            <w:tcW w:w="155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泰达街爱卫会</w:t>
            </w:r>
          </w:p>
          <w:p>
            <w:pPr>
              <w:widowControl/>
              <w:jc w:val="center"/>
              <w:rPr>
                <w:rFonts w:ascii="宋体"/>
                <w:color w:val="000000"/>
                <w:kern w:val="0"/>
                <w:sz w:val="22"/>
                <w:szCs w:val="21"/>
              </w:rPr>
            </w:pPr>
            <w:r>
              <w:rPr>
                <w:rFonts w:hint="eastAsia" w:ascii="宋体" w:hAnsi="宋体" w:cs="宋体"/>
                <w:color w:val="000000"/>
                <w:kern w:val="0"/>
                <w:sz w:val="22"/>
              </w:rPr>
              <w:t>健促会）成员单位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6" w:type="dxa"/>
            <w:vMerge w:val="continue"/>
            <w:vAlign w:val="center"/>
          </w:tcPr>
          <w:p>
            <w:pPr>
              <w:widowControl/>
              <w:jc w:val="left"/>
              <w:rPr>
                <w:rFonts w:ascii="宋体"/>
                <w:color w:val="000000"/>
                <w:kern w:val="0"/>
                <w:szCs w:val="21"/>
              </w:rPr>
            </w:pPr>
          </w:p>
        </w:tc>
        <w:tc>
          <w:tcPr>
            <w:tcW w:w="1275" w:type="dxa"/>
            <w:vAlign w:val="center"/>
          </w:tcPr>
          <w:p>
            <w:pPr>
              <w:widowControl/>
              <w:jc w:val="left"/>
              <w:rPr>
                <w:rFonts w:asci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学生体质健康</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学生体质达到教育部《国家学生体质健康标准》有关标准。</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2977" w:type="dxa"/>
            <w:vAlign w:val="center"/>
          </w:tcPr>
          <w:p>
            <w:pPr>
              <w:widowControl/>
              <w:jc w:val="left"/>
              <w:rPr>
                <w:rFonts w:ascii="宋体"/>
                <w:color w:val="000000"/>
                <w:kern w:val="0"/>
                <w:szCs w:val="21"/>
              </w:rPr>
            </w:pPr>
            <w:r>
              <w:rPr>
                <w:rFonts w:ascii="宋体" w:hAnsi="宋体" w:cs="宋体"/>
                <w:color w:val="000000"/>
                <w:kern w:val="0"/>
                <w:szCs w:val="21"/>
              </w:rPr>
              <w:t>95%</w:t>
            </w:r>
            <w:r>
              <w:rPr>
                <w:rFonts w:hint="eastAsia" w:ascii="宋体" w:hAnsi="宋体" w:cs="宋体"/>
                <w:color w:val="000000"/>
                <w:kern w:val="0"/>
                <w:szCs w:val="21"/>
              </w:rPr>
              <w:t>以上的学生达到合格以上等级得</w:t>
            </w:r>
            <w:r>
              <w:rPr>
                <w:rFonts w:ascii="宋体" w:hAnsi="宋体" w:cs="宋体"/>
                <w:color w:val="000000"/>
                <w:kern w:val="0"/>
                <w:szCs w:val="21"/>
              </w:rPr>
              <w:t>30</w:t>
            </w:r>
            <w:r>
              <w:rPr>
                <w:rFonts w:hint="eastAsia" w:ascii="宋体" w:hAnsi="宋体" w:cs="宋体"/>
                <w:color w:val="000000"/>
                <w:kern w:val="0"/>
                <w:szCs w:val="21"/>
              </w:rPr>
              <w:t>分</w:t>
            </w:r>
            <w:r>
              <w:rPr>
                <w:rFonts w:ascii="宋体" w:hAnsi="宋体" w:cs="宋体"/>
                <w:color w:val="000000"/>
                <w:kern w:val="0"/>
                <w:szCs w:val="21"/>
              </w:rPr>
              <w:t>,94%</w:t>
            </w:r>
            <w:r>
              <w:rPr>
                <w:rFonts w:hint="eastAsia" w:ascii="宋体" w:hAnsi="宋体" w:cs="宋体"/>
                <w:color w:val="000000"/>
                <w:kern w:val="0"/>
                <w:szCs w:val="21"/>
              </w:rPr>
              <w:t>以上的学生达到得</w:t>
            </w:r>
            <w:r>
              <w:rPr>
                <w:rFonts w:ascii="宋体" w:hAnsi="宋体" w:cs="宋体"/>
                <w:color w:val="000000"/>
                <w:kern w:val="0"/>
                <w:szCs w:val="21"/>
              </w:rPr>
              <w:t>20</w:t>
            </w:r>
            <w:r>
              <w:rPr>
                <w:rFonts w:hint="eastAsia" w:ascii="宋体" w:hAnsi="宋体" w:cs="宋体"/>
                <w:color w:val="000000"/>
                <w:kern w:val="0"/>
                <w:szCs w:val="21"/>
              </w:rPr>
              <w:t>分</w:t>
            </w:r>
            <w:r>
              <w:rPr>
                <w:rFonts w:ascii="宋体" w:hAnsi="宋体" w:cs="宋体"/>
                <w:color w:val="000000"/>
                <w:kern w:val="0"/>
                <w:szCs w:val="21"/>
              </w:rPr>
              <w:t>,92%</w:t>
            </w:r>
            <w:r>
              <w:rPr>
                <w:rFonts w:hint="eastAsia" w:ascii="宋体" w:hAnsi="宋体" w:cs="宋体"/>
                <w:color w:val="000000"/>
                <w:kern w:val="0"/>
                <w:szCs w:val="21"/>
              </w:rPr>
              <w:t>以上的学生达到得</w:t>
            </w:r>
            <w:r>
              <w:rPr>
                <w:rFonts w:ascii="宋体" w:hAnsi="宋体" w:cs="宋体"/>
                <w:color w:val="000000"/>
                <w:kern w:val="0"/>
                <w:szCs w:val="21"/>
              </w:rPr>
              <w:t>10</w:t>
            </w:r>
            <w:r>
              <w:rPr>
                <w:rFonts w:hint="eastAsia" w:ascii="宋体" w:hAnsi="宋体" w:cs="宋体"/>
                <w:color w:val="000000"/>
                <w:kern w:val="0"/>
                <w:szCs w:val="21"/>
              </w:rPr>
              <w:t>分</w:t>
            </w:r>
            <w:r>
              <w:rPr>
                <w:rFonts w:ascii="宋体" w:cs="宋体"/>
                <w:color w:val="000000"/>
                <w:kern w:val="0"/>
                <w:szCs w:val="21"/>
              </w:rPr>
              <w:t>,</w:t>
            </w:r>
            <w:r>
              <w:rPr>
                <w:rFonts w:hint="eastAsia" w:ascii="宋体" w:hAnsi="宋体" w:cs="宋体"/>
                <w:color w:val="000000"/>
                <w:kern w:val="0"/>
                <w:szCs w:val="21"/>
              </w:rPr>
              <w:t>低于</w:t>
            </w:r>
            <w:r>
              <w:rPr>
                <w:rFonts w:ascii="宋体" w:hAnsi="宋体" w:cs="宋体"/>
                <w:color w:val="000000"/>
                <w:kern w:val="0"/>
                <w:szCs w:val="21"/>
              </w:rPr>
              <w:t>92%</w:t>
            </w:r>
            <w:r>
              <w:rPr>
                <w:rFonts w:hint="eastAsia" w:ascii="宋体" w:hAnsi="宋体" w:cs="宋体"/>
                <w:color w:val="000000"/>
                <w:kern w:val="0"/>
                <w:szCs w:val="21"/>
              </w:rPr>
              <w:t>以上的学生达到得</w:t>
            </w:r>
            <w:r>
              <w:rPr>
                <w:rFonts w:ascii="宋体" w:cs="宋体"/>
                <w:color w:val="000000"/>
                <w:kern w:val="0"/>
                <w:szCs w:val="21"/>
              </w:rPr>
              <w:t>0</w:t>
            </w:r>
            <w:r>
              <w:rPr>
                <w:rFonts w:hint="eastAsia" w:ascii="宋体" w:hAnsi="宋体" w:cs="宋体"/>
                <w:color w:val="000000"/>
                <w:kern w:val="0"/>
                <w:szCs w:val="21"/>
              </w:rPr>
              <w:t>分。</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627" w:type="dxa"/>
            <w:vAlign w:val="center"/>
          </w:tcPr>
          <w:p>
            <w:pPr>
              <w:widowControl/>
              <w:jc w:val="center"/>
              <w:rPr>
                <w:rFonts w:ascii="宋体"/>
                <w:color w:val="000000"/>
                <w:kern w:val="0"/>
                <w:szCs w:val="21"/>
              </w:rPr>
            </w:pPr>
            <w:r>
              <w:rPr>
                <w:rFonts w:hint="eastAsia" w:ascii="宋体" w:hAnsi="宋体" w:cs="宋体"/>
                <w:color w:val="000000"/>
                <w:kern w:val="0"/>
                <w:szCs w:val="21"/>
              </w:rPr>
              <w:t>文教办</w:t>
            </w:r>
          </w:p>
        </w:tc>
        <w:tc>
          <w:tcPr>
            <w:tcW w:w="1559" w:type="dxa"/>
            <w:vAlign w:val="center"/>
          </w:tcPr>
          <w:p>
            <w:pPr>
              <w:widowControl/>
              <w:jc w:val="center"/>
              <w:rPr>
                <w:rFonts w:ascii="宋体"/>
                <w:color w:val="000000"/>
                <w:kern w:val="0"/>
                <w:sz w:val="22"/>
                <w:szCs w:val="21"/>
              </w:rPr>
            </w:pPr>
            <w:r>
              <w:rPr>
                <w:rFonts w:hint="eastAsia" w:ascii="宋体" w:hAnsi="宋体" w:cs="宋体"/>
                <w:color w:val="000000"/>
                <w:kern w:val="0"/>
                <w:sz w:val="22"/>
              </w:rPr>
              <w:t>文教办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56" w:type="dxa"/>
            <w:vAlign w:val="center"/>
          </w:tcPr>
          <w:p>
            <w:pPr>
              <w:widowControl/>
              <w:jc w:val="center"/>
              <w:rPr>
                <w:rFonts w:ascii="宋体"/>
                <w:color w:val="000000"/>
                <w:kern w:val="0"/>
                <w:szCs w:val="21"/>
              </w:rPr>
            </w:pPr>
            <w:r>
              <w:rPr>
                <w:rFonts w:hint="eastAsia" w:ascii="宋体" w:hAnsi="宋体" w:cs="宋体"/>
                <w:color w:val="000000"/>
                <w:kern w:val="0"/>
                <w:szCs w:val="21"/>
              </w:rPr>
              <w:t>合计</w:t>
            </w:r>
          </w:p>
        </w:tc>
        <w:tc>
          <w:tcPr>
            <w:tcW w:w="1275" w:type="dxa"/>
            <w:vAlign w:val="center"/>
          </w:tcPr>
          <w:p>
            <w:pPr>
              <w:widowControl/>
              <w:jc w:val="left"/>
              <w:rPr>
                <w:rFonts w:ascii="宋体"/>
                <w:color w:val="000000"/>
                <w:kern w:val="0"/>
                <w:szCs w:val="21"/>
              </w:rPr>
            </w:pPr>
            <w:r>
              <w:rPr>
                <w:rFonts w:hint="eastAsia" w:ascii="宋体" w:hAnsi="宋体" w:cs="宋体"/>
                <w:color w:val="000000"/>
                <w:kern w:val="0"/>
                <w:szCs w:val="21"/>
              </w:rPr>
              <w:t>　</w:t>
            </w:r>
          </w:p>
        </w:tc>
        <w:tc>
          <w:tcPr>
            <w:tcW w:w="3121" w:type="dxa"/>
            <w:vAlign w:val="center"/>
          </w:tcPr>
          <w:p>
            <w:pPr>
              <w:widowControl/>
              <w:jc w:val="left"/>
              <w:rPr>
                <w:rFonts w:ascii="宋体"/>
                <w:color w:val="000000"/>
                <w:kern w:val="0"/>
                <w:szCs w:val="21"/>
              </w:rPr>
            </w:pPr>
            <w:r>
              <w:rPr>
                <w:rFonts w:hint="eastAsia" w:ascii="宋体" w:hAnsi="宋体" w:cs="宋体"/>
                <w:color w:val="000000"/>
                <w:kern w:val="0"/>
                <w:szCs w:val="21"/>
              </w:rPr>
              <w:t>　</w:t>
            </w:r>
          </w:p>
        </w:tc>
        <w:tc>
          <w:tcPr>
            <w:tcW w:w="992" w:type="dxa"/>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2977" w:type="dxa"/>
            <w:vAlign w:val="center"/>
          </w:tcPr>
          <w:p>
            <w:pPr>
              <w:widowControl/>
              <w:jc w:val="left"/>
              <w:rPr>
                <w:rFonts w:ascii="宋体"/>
                <w:color w:val="000000"/>
                <w:kern w:val="0"/>
                <w:szCs w:val="21"/>
              </w:rPr>
            </w:pPr>
            <w:r>
              <w:rPr>
                <w:rFonts w:hint="eastAsia" w:ascii="宋体" w:hAnsi="宋体" w:cs="宋体"/>
                <w:color w:val="000000"/>
                <w:kern w:val="0"/>
                <w:szCs w:val="21"/>
              </w:rPr>
              <w:t>　</w:t>
            </w:r>
          </w:p>
        </w:tc>
        <w:tc>
          <w:tcPr>
            <w:tcW w:w="950" w:type="dxa"/>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1627" w:type="dxa"/>
            <w:vAlign w:val="center"/>
          </w:tcPr>
          <w:p>
            <w:pPr>
              <w:widowControl/>
              <w:jc w:val="left"/>
              <w:rPr>
                <w:rFonts w:ascii="宋体"/>
                <w:color w:val="000000"/>
                <w:kern w:val="0"/>
                <w:szCs w:val="21"/>
              </w:rPr>
            </w:pPr>
            <w:r>
              <w:rPr>
                <w:rFonts w:hint="eastAsia" w:ascii="宋体" w:hAnsi="宋体" w:cs="宋体"/>
                <w:color w:val="000000"/>
                <w:kern w:val="0"/>
                <w:szCs w:val="21"/>
              </w:rPr>
              <w:t>　</w:t>
            </w:r>
          </w:p>
        </w:tc>
        <w:tc>
          <w:tcPr>
            <w:tcW w:w="1559" w:type="dxa"/>
            <w:vAlign w:val="center"/>
          </w:tcPr>
          <w:p>
            <w:pPr>
              <w:widowControl/>
              <w:jc w:val="left"/>
              <w:rPr>
                <w:rFonts w:ascii="宋体"/>
                <w:color w:val="000000"/>
                <w:kern w:val="0"/>
                <w:sz w:val="22"/>
                <w:szCs w:val="21"/>
              </w:rPr>
            </w:pPr>
            <w:r>
              <w:rPr>
                <w:rFonts w:hint="eastAsia" w:ascii="宋体" w:hAnsi="宋体" w:cs="宋体"/>
                <w:color w:val="000000"/>
                <w:kern w:val="0"/>
                <w:sz w:val="22"/>
              </w:rPr>
              <w:t>　</w:t>
            </w:r>
          </w:p>
        </w:tc>
      </w:tr>
    </w:tbl>
    <w:p>
      <w:pPr>
        <w:spacing w:line="588" w:lineRule="exact"/>
        <w:rPr>
          <w:rFonts w:ascii="仿宋_GB2312" w:eastAsia="仿宋_GB2312"/>
          <w:sz w:val="32"/>
          <w:szCs w:val="32"/>
        </w:rPr>
      </w:pPr>
      <w:bookmarkStart w:id="0" w:name="_GoBack"/>
      <w:bookmarkEnd w:id="0"/>
    </w:p>
    <w:sectPr>
      <w:headerReference r:id="rId3" w:type="default"/>
      <w:footerReference r:id="rId5" w:type="default"/>
      <w:headerReference r:id="rId4" w:type="even"/>
      <w:footerReference r:id="rId6" w:type="even"/>
      <w:pgSz w:w="16838" w:h="11906" w:orient="landscape"/>
      <w:pgMar w:top="1587" w:right="2098" w:bottom="1474" w:left="1985" w:header="851" w:footer="992" w:gutter="0"/>
      <w:paperSrc/>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1" w:csb1="00000000"/>
  </w:font>
  <w:font w:name="Franklin Gothic Medium">
    <w:panose1 w:val="020B06030201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大黑简体2.">
    <w:altName w:val="Arial Unicode MS"/>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9963" w:y="1"/>
      <w:jc w:val="right"/>
      <w:rPr>
        <w:rStyle w:val="28"/>
        <w:rFonts w:ascii="Times New Roman" w:hAnsi="Times New Roman" w:cs="Times New Roman"/>
        <w:sz w:val="28"/>
        <w:szCs w:val="28"/>
      </w:rPr>
    </w:pPr>
    <w:r>
      <w:rPr>
        <w:rStyle w:val="28"/>
        <w:rFonts w:ascii="Times New Roman" w:hAnsi="Times New Roman" w:cs="Times New Roman"/>
        <w:sz w:val="28"/>
        <w:szCs w:val="28"/>
      </w:rPr>
      <w:fldChar w:fldCharType="begin"/>
    </w:r>
    <w:r>
      <w:rPr>
        <w:rStyle w:val="28"/>
        <w:rFonts w:ascii="Times New Roman" w:hAnsi="Times New Roman" w:cs="Times New Roman"/>
        <w:sz w:val="28"/>
        <w:szCs w:val="28"/>
      </w:rPr>
      <w:instrText xml:space="preserve">PAGE  </w:instrText>
    </w:r>
    <w:r>
      <w:rPr>
        <w:rStyle w:val="28"/>
        <w:rFonts w:ascii="Times New Roman" w:hAnsi="Times New Roman" w:cs="Times New Roman"/>
        <w:sz w:val="28"/>
        <w:szCs w:val="28"/>
      </w:rPr>
      <w:fldChar w:fldCharType="separate"/>
    </w:r>
    <w:r>
      <w:rPr>
        <w:rStyle w:val="28"/>
        <w:rFonts w:ascii="Times New Roman" w:hAnsi="Times New Roman" w:cs="Times New Roman"/>
        <w:sz w:val="28"/>
        <w:szCs w:val="28"/>
      </w:rPr>
      <w:t>- 37 -</w:t>
    </w:r>
    <w:r>
      <w:rPr>
        <w:rStyle w:val="28"/>
        <w:rFonts w:ascii="Times New Roman" w:hAnsi="Times New Roman" w:cs="Times New Roman"/>
        <w:sz w:val="28"/>
        <w:szCs w:val="28"/>
      </w:rPr>
      <w:fldChar w:fldCharType="end"/>
    </w: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589" w:y="45"/>
      <w:jc w:val="right"/>
      <w:rPr>
        <w:rStyle w:val="28"/>
        <w:rFonts w:ascii="Times New Roman" w:hAnsi="Times New Roman" w:cs="Times New Roman"/>
        <w:sz w:val="28"/>
        <w:szCs w:val="28"/>
      </w:rPr>
    </w:pPr>
    <w:r>
      <w:rPr>
        <w:rStyle w:val="28"/>
        <w:rFonts w:ascii="Times New Roman" w:hAnsi="Times New Roman" w:cs="Times New Roman"/>
        <w:sz w:val="28"/>
        <w:szCs w:val="28"/>
      </w:rPr>
      <w:fldChar w:fldCharType="begin"/>
    </w:r>
    <w:r>
      <w:rPr>
        <w:rStyle w:val="28"/>
        <w:rFonts w:ascii="Times New Roman" w:hAnsi="Times New Roman" w:cs="Times New Roman"/>
        <w:sz w:val="28"/>
        <w:szCs w:val="28"/>
      </w:rPr>
      <w:instrText xml:space="preserve">PAGE  </w:instrText>
    </w:r>
    <w:r>
      <w:rPr>
        <w:rStyle w:val="28"/>
        <w:rFonts w:ascii="Times New Roman" w:hAnsi="Times New Roman" w:cs="Times New Roman"/>
        <w:sz w:val="28"/>
        <w:szCs w:val="28"/>
      </w:rPr>
      <w:fldChar w:fldCharType="separate"/>
    </w:r>
    <w:r>
      <w:rPr>
        <w:rStyle w:val="28"/>
        <w:rFonts w:ascii="Times New Roman" w:hAnsi="Times New Roman" w:cs="Times New Roman"/>
        <w:sz w:val="28"/>
        <w:szCs w:val="28"/>
      </w:rPr>
      <w:t>- 38 -</w:t>
    </w:r>
    <w:r>
      <w:rPr>
        <w:rStyle w:val="28"/>
        <w:rFonts w:ascii="Times New Roman" w:hAnsi="Times New Roman" w:cs="Times New Roman"/>
        <w:sz w:val="28"/>
        <w:szCs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11"/>
    <w:rsid w:val="00095FF0"/>
    <w:rsid w:val="00097CB5"/>
    <w:rsid w:val="000D019B"/>
    <w:rsid w:val="00111628"/>
    <w:rsid w:val="00145BA0"/>
    <w:rsid w:val="001562D1"/>
    <w:rsid w:val="001701E2"/>
    <w:rsid w:val="00197D11"/>
    <w:rsid w:val="001F08CA"/>
    <w:rsid w:val="00203DB1"/>
    <w:rsid w:val="00230AC5"/>
    <w:rsid w:val="002540CB"/>
    <w:rsid w:val="00266FC7"/>
    <w:rsid w:val="002801ED"/>
    <w:rsid w:val="002A3829"/>
    <w:rsid w:val="002A656B"/>
    <w:rsid w:val="002E4056"/>
    <w:rsid w:val="00326406"/>
    <w:rsid w:val="003704D1"/>
    <w:rsid w:val="00372578"/>
    <w:rsid w:val="003B03AF"/>
    <w:rsid w:val="003D6D7F"/>
    <w:rsid w:val="004320AF"/>
    <w:rsid w:val="00483ADD"/>
    <w:rsid w:val="004B76A1"/>
    <w:rsid w:val="004D107A"/>
    <w:rsid w:val="0056755D"/>
    <w:rsid w:val="005C6222"/>
    <w:rsid w:val="005E5D51"/>
    <w:rsid w:val="005F5F54"/>
    <w:rsid w:val="00631F0B"/>
    <w:rsid w:val="00660858"/>
    <w:rsid w:val="00670235"/>
    <w:rsid w:val="00671DCB"/>
    <w:rsid w:val="006A017C"/>
    <w:rsid w:val="006D5FF2"/>
    <w:rsid w:val="00725B97"/>
    <w:rsid w:val="00734396"/>
    <w:rsid w:val="007D09E9"/>
    <w:rsid w:val="007D308B"/>
    <w:rsid w:val="007F5F89"/>
    <w:rsid w:val="0080697A"/>
    <w:rsid w:val="00834569"/>
    <w:rsid w:val="00844317"/>
    <w:rsid w:val="0089409B"/>
    <w:rsid w:val="0092421A"/>
    <w:rsid w:val="00945D69"/>
    <w:rsid w:val="00947AB7"/>
    <w:rsid w:val="00952B1E"/>
    <w:rsid w:val="00952B49"/>
    <w:rsid w:val="00953F10"/>
    <w:rsid w:val="00957696"/>
    <w:rsid w:val="009874C7"/>
    <w:rsid w:val="009C7FC8"/>
    <w:rsid w:val="00A06668"/>
    <w:rsid w:val="00A22CFA"/>
    <w:rsid w:val="00A246BD"/>
    <w:rsid w:val="00A60713"/>
    <w:rsid w:val="00A742E6"/>
    <w:rsid w:val="00AA2CBC"/>
    <w:rsid w:val="00B158EA"/>
    <w:rsid w:val="00B426FB"/>
    <w:rsid w:val="00B6087F"/>
    <w:rsid w:val="00B60CC9"/>
    <w:rsid w:val="00B662D9"/>
    <w:rsid w:val="00B7358D"/>
    <w:rsid w:val="00BC3357"/>
    <w:rsid w:val="00BF5D08"/>
    <w:rsid w:val="00C73D64"/>
    <w:rsid w:val="00CA690E"/>
    <w:rsid w:val="00CD6440"/>
    <w:rsid w:val="00D643C1"/>
    <w:rsid w:val="00D80F67"/>
    <w:rsid w:val="00DE53B8"/>
    <w:rsid w:val="00E07F11"/>
    <w:rsid w:val="00E325C2"/>
    <w:rsid w:val="00E82BEF"/>
    <w:rsid w:val="00E9095C"/>
    <w:rsid w:val="00E96916"/>
    <w:rsid w:val="00EA6882"/>
    <w:rsid w:val="00EA7084"/>
    <w:rsid w:val="00ED1FEE"/>
    <w:rsid w:val="00F21ABB"/>
    <w:rsid w:val="00F27E8E"/>
    <w:rsid w:val="00F30560"/>
    <w:rsid w:val="00F37E42"/>
    <w:rsid w:val="00F902F6"/>
    <w:rsid w:val="00F9236A"/>
    <w:rsid w:val="00FA5E1C"/>
    <w:rsid w:val="00FB4A23"/>
    <w:rsid w:val="00FE3071"/>
    <w:rsid w:val="17774040"/>
    <w:rsid w:val="7D300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99"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99"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99"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99" w:semiHidden="0" w:name="Light Shading Accent 5"/>
    <w:lsdException w:unhideWhenUsed="0" w:uiPriority="99"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9"/>
    <w:pPr>
      <w:keepNext/>
      <w:keepLines/>
      <w:spacing w:before="340" w:after="330" w:line="578" w:lineRule="auto"/>
      <w:outlineLvl w:val="0"/>
    </w:pPr>
    <w:rPr>
      <w:rFonts w:ascii="Calibri" w:hAnsi="Calibri" w:eastAsia="黑体" w:cs="Times New Roman"/>
      <w:b/>
      <w:bCs/>
      <w:kern w:val="44"/>
      <w:sz w:val="44"/>
      <w:szCs w:val="44"/>
    </w:rPr>
  </w:style>
  <w:style w:type="paragraph" w:styleId="3">
    <w:name w:val="heading 2"/>
    <w:basedOn w:val="1"/>
    <w:next w:val="1"/>
    <w:link w:val="47"/>
    <w:qFormat/>
    <w:uiPriority w:val="99"/>
    <w:pPr>
      <w:keepNext/>
      <w:keepLines/>
      <w:spacing w:before="260" w:after="260" w:line="415"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48"/>
    <w:qFormat/>
    <w:uiPriority w:val="99"/>
    <w:pPr>
      <w:keepNext/>
      <w:keepLines/>
      <w:outlineLvl w:val="2"/>
    </w:pPr>
    <w:rPr>
      <w:rFonts w:ascii="Calibri" w:hAnsi="Calibri" w:eastAsia="楷体_GB2312" w:cs="Times New Roman"/>
      <w:b/>
      <w:bCs/>
      <w:sz w:val="32"/>
      <w:szCs w:val="32"/>
    </w:rPr>
  </w:style>
  <w:style w:type="paragraph" w:styleId="5">
    <w:name w:val="heading 4"/>
    <w:basedOn w:val="1"/>
    <w:next w:val="1"/>
    <w:link w:val="49"/>
    <w:qFormat/>
    <w:uiPriority w:val="99"/>
    <w:pPr>
      <w:keepNext/>
      <w:keepLines/>
      <w:spacing w:before="280" w:after="290" w:line="374" w:lineRule="auto"/>
      <w:outlineLvl w:val="3"/>
    </w:pPr>
    <w:rPr>
      <w:rFonts w:ascii="Cambria" w:hAnsi="Cambria" w:eastAsia="宋体" w:cs="Times New Roman"/>
      <w:b/>
      <w:bCs/>
      <w:sz w:val="28"/>
      <w:szCs w:val="28"/>
    </w:rPr>
  </w:style>
  <w:style w:type="paragraph" w:styleId="6">
    <w:name w:val="heading 5"/>
    <w:basedOn w:val="1"/>
    <w:next w:val="1"/>
    <w:link w:val="50"/>
    <w:qFormat/>
    <w:uiPriority w:val="99"/>
    <w:pPr>
      <w:keepNext/>
      <w:keepLines/>
      <w:spacing w:before="280" w:after="290" w:line="374" w:lineRule="auto"/>
      <w:outlineLvl w:val="4"/>
    </w:pPr>
    <w:rPr>
      <w:rFonts w:ascii="Calibri" w:hAnsi="Calibri" w:eastAsia="宋体" w:cs="Times New Roman"/>
      <w:b/>
      <w:bCs/>
      <w:kern w:val="0"/>
      <w:sz w:val="28"/>
      <w:szCs w:val="28"/>
    </w:rPr>
  </w:style>
  <w:style w:type="paragraph" w:styleId="7">
    <w:name w:val="heading 6"/>
    <w:basedOn w:val="1"/>
    <w:next w:val="1"/>
    <w:link w:val="51"/>
    <w:qFormat/>
    <w:uiPriority w:val="99"/>
    <w:pPr>
      <w:keepNext/>
      <w:keepLines/>
      <w:spacing w:before="240" w:after="64" w:line="319" w:lineRule="auto"/>
      <w:outlineLvl w:val="5"/>
    </w:pPr>
    <w:rPr>
      <w:rFonts w:ascii="Cambria" w:hAnsi="Cambria" w:eastAsia="宋体" w:cs="Times New Roman"/>
      <w:b/>
      <w:bCs/>
      <w:sz w:val="24"/>
      <w:szCs w:val="24"/>
    </w:rPr>
  </w:style>
  <w:style w:type="paragraph" w:styleId="8">
    <w:name w:val="heading 8"/>
    <w:basedOn w:val="1"/>
    <w:next w:val="1"/>
    <w:link w:val="52"/>
    <w:qFormat/>
    <w:uiPriority w:val="99"/>
    <w:pPr>
      <w:keepNext/>
      <w:keepLines/>
      <w:widowControl/>
      <w:spacing w:before="240" w:after="64" w:line="319" w:lineRule="auto"/>
      <w:jc w:val="left"/>
      <w:outlineLvl w:val="7"/>
    </w:pPr>
    <w:rPr>
      <w:rFonts w:ascii="Cambria" w:hAnsi="Cambria" w:eastAsia="宋体" w:cs="Times New Roman"/>
      <w:kern w:val="0"/>
      <w:sz w:val="24"/>
      <w:szCs w:val="24"/>
      <w:lang w:eastAsia="en-US"/>
    </w:rPr>
  </w:style>
  <w:style w:type="character" w:default="1" w:styleId="27">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9">
    <w:name w:val="annotation subject"/>
    <w:basedOn w:val="10"/>
    <w:next w:val="10"/>
    <w:link w:val="91"/>
    <w:qFormat/>
    <w:uiPriority w:val="99"/>
    <w:pPr>
      <w:spacing w:line="360" w:lineRule="auto"/>
      <w:ind w:firstLine="200" w:firstLineChars="200"/>
    </w:pPr>
    <w:rPr>
      <w:rFonts w:eastAsiaTheme="minorEastAsia" w:cstheme="minorBidi"/>
      <w:b/>
      <w:bCs/>
      <w:sz w:val="22"/>
      <w:szCs w:val="22"/>
    </w:rPr>
  </w:style>
  <w:style w:type="paragraph" w:styleId="10">
    <w:name w:val="annotation text"/>
    <w:basedOn w:val="1"/>
    <w:link w:val="90"/>
    <w:unhideWhenUsed/>
    <w:uiPriority w:val="99"/>
    <w:pPr>
      <w:jc w:val="left"/>
    </w:pPr>
    <w:rPr>
      <w:rFonts w:ascii="Calibri" w:hAnsi="Calibri" w:eastAsia="宋体" w:cs="Times New Roman"/>
      <w:szCs w:val="24"/>
    </w:rPr>
  </w:style>
  <w:style w:type="paragraph" w:styleId="11">
    <w:name w:val="Salutation"/>
    <w:basedOn w:val="1"/>
    <w:next w:val="1"/>
    <w:link w:val="89"/>
    <w:qFormat/>
    <w:uiPriority w:val="0"/>
    <w:rPr>
      <w:rFonts w:ascii="仿宋_GB2312" w:hAnsi="宋体" w:eastAsia="仿宋_GB2312" w:cs="Times New Roman"/>
      <w:color w:val="000000"/>
      <w:sz w:val="28"/>
      <w:szCs w:val="28"/>
      <w:lang w:val="en-GB"/>
    </w:rPr>
  </w:style>
  <w:style w:type="paragraph" w:styleId="12">
    <w:name w:val="Closing"/>
    <w:basedOn w:val="1"/>
    <w:link w:val="92"/>
    <w:qFormat/>
    <w:uiPriority w:val="0"/>
    <w:pPr>
      <w:ind w:left="100" w:leftChars="2100"/>
    </w:pPr>
    <w:rPr>
      <w:rFonts w:ascii="仿宋_GB2312" w:hAnsi="宋体" w:eastAsia="仿宋_GB2312" w:cs="Times New Roman"/>
      <w:color w:val="000000"/>
      <w:sz w:val="28"/>
      <w:szCs w:val="28"/>
      <w:lang w:val="en-GB"/>
    </w:rPr>
  </w:style>
  <w:style w:type="paragraph" w:styleId="13">
    <w:name w:val="Body Text"/>
    <w:basedOn w:val="1"/>
    <w:link w:val="44"/>
    <w:qFormat/>
    <w:uiPriority w:val="0"/>
    <w:rPr>
      <w:rFonts w:ascii="Times New Roman" w:hAnsi="Times New Roman" w:eastAsia="文星仿宋" w:cs="Times New Roman"/>
      <w:sz w:val="32"/>
      <w:szCs w:val="24"/>
    </w:rPr>
  </w:style>
  <w:style w:type="paragraph" w:styleId="14">
    <w:name w:val="Body Text Indent"/>
    <w:basedOn w:val="1"/>
    <w:link w:val="95"/>
    <w:qFormat/>
    <w:uiPriority w:val="99"/>
    <w:pPr>
      <w:spacing w:after="120"/>
      <w:ind w:left="420" w:leftChars="200"/>
    </w:pPr>
    <w:rPr>
      <w:sz w:val="24"/>
      <w:szCs w:val="24"/>
    </w:rPr>
  </w:style>
  <w:style w:type="paragraph" w:styleId="15">
    <w:name w:val="toc 3"/>
    <w:basedOn w:val="1"/>
    <w:next w:val="1"/>
    <w:qFormat/>
    <w:uiPriority w:val="99"/>
    <w:pPr>
      <w:widowControl/>
      <w:spacing w:after="100" w:line="276" w:lineRule="auto"/>
      <w:ind w:left="440"/>
      <w:jc w:val="left"/>
    </w:pPr>
    <w:rPr>
      <w:rFonts w:ascii="Calibri" w:hAnsi="Calibri" w:eastAsia="宋体" w:cs="Calibri"/>
      <w:kern w:val="0"/>
      <w:sz w:val="22"/>
    </w:rPr>
  </w:style>
  <w:style w:type="paragraph" w:styleId="16">
    <w:name w:val="Date"/>
    <w:basedOn w:val="1"/>
    <w:next w:val="1"/>
    <w:link w:val="45"/>
    <w:unhideWhenUsed/>
    <w:uiPriority w:val="99"/>
    <w:pPr>
      <w:ind w:left="100" w:leftChars="2500"/>
    </w:pPr>
  </w:style>
  <w:style w:type="paragraph" w:styleId="17">
    <w:name w:val="Balloon Text"/>
    <w:basedOn w:val="1"/>
    <w:link w:val="43"/>
    <w:unhideWhenUsed/>
    <w:qFormat/>
    <w:uiPriority w:val="99"/>
    <w:rPr>
      <w:sz w:val="18"/>
      <w:szCs w:val="18"/>
    </w:rPr>
  </w:style>
  <w:style w:type="paragraph" w:styleId="18">
    <w:name w:val="footer"/>
    <w:basedOn w:val="1"/>
    <w:link w:val="42"/>
    <w:unhideWhenUsed/>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99"/>
    <w:pPr>
      <w:widowControl/>
      <w:tabs>
        <w:tab w:val="right" w:leader="dot" w:pos="8296"/>
      </w:tabs>
      <w:spacing w:after="100" w:line="276" w:lineRule="auto"/>
      <w:jc w:val="left"/>
    </w:pPr>
    <w:rPr>
      <w:rFonts w:ascii="宋体" w:hAnsi="宋体" w:eastAsia="宋体" w:cs="宋体"/>
      <w:b/>
      <w:bCs/>
      <w:strike/>
      <w:kern w:val="0"/>
      <w:sz w:val="20"/>
      <w:szCs w:val="20"/>
    </w:rPr>
  </w:style>
  <w:style w:type="paragraph" w:styleId="21">
    <w:name w:val="Subtitle"/>
    <w:basedOn w:val="1"/>
    <w:next w:val="1"/>
    <w:link w:val="93"/>
    <w:qFormat/>
    <w:uiPriority w:val="99"/>
    <w:pPr>
      <w:spacing w:before="240" w:after="60" w:line="312" w:lineRule="auto"/>
      <w:jc w:val="center"/>
      <w:outlineLvl w:val="1"/>
    </w:pPr>
    <w:rPr>
      <w:rFonts w:ascii="Cambria" w:hAnsi="Cambria" w:eastAsia="楷体_GB2312"/>
      <w:b/>
      <w:bCs/>
      <w:kern w:val="28"/>
      <w:sz w:val="32"/>
      <w:szCs w:val="32"/>
    </w:rPr>
  </w:style>
  <w:style w:type="paragraph" w:styleId="22">
    <w:name w:val="footnote text"/>
    <w:basedOn w:val="1"/>
    <w:link w:val="102"/>
    <w:qFormat/>
    <w:uiPriority w:val="99"/>
    <w:pPr>
      <w:snapToGrid w:val="0"/>
      <w:jc w:val="left"/>
    </w:pPr>
    <w:rPr>
      <w:sz w:val="18"/>
      <w:szCs w:val="18"/>
    </w:rPr>
  </w:style>
  <w:style w:type="paragraph" w:styleId="23">
    <w:name w:val="toc 2"/>
    <w:basedOn w:val="1"/>
    <w:next w:val="1"/>
    <w:uiPriority w:val="99"/>
    <w:pPr>
      <w:widowControl/>
      <w:tabs>
        <w:tab w:val="right" w:leader="dot" w:pos="8296"/>
      </w:tabs>
      <w:spacing w:after="100" w:line="276" w:lineRule="auto"/>
      <w:ind w:left="220"/>
      <w:jc w:val="left"/>
    </w:pPr>
    <w:rPr>
      <w:rFonts w:ascii="宋体" w:hAnsi="宋体" w:eastAsia="宋体" w:cs="宋体"/>
      <w:kern w:val="0"/>
      <w:sz w:val="20"/>
      <w:szCs w:val="20"/>
    </w:rPr>
  </w:style>
  <w:style w:type="paragraph" w:styleId="24">
    <w:name w:val="HTML Preformatted"/>
    <w:basedOn w:val="1"/>
    <w:link w:val="11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123"/>
    <w:qFormat/>
    <w:uiPriority w:val="99"/>
    <w:pPr>
      <w:spacing w:before="240" w:after="60" w:line="360" w:lineRule="auto"/>
      <w:ind w:firstLine="200" w:firstLineChars="200"/>
      <w:jc w:val="center"/>
      <w:outlineLvl w:val="0"/>
    </w:pPr>
    <w:rPr>
      <w:rFonts w:ascii="Cambria" w:hAnsi="Cambria"/>
      <w:b/>
      <w:bCs/>
      <w:sz w:val="32"/>
      <w:szCs w:val="32"/>
    </w:rPr>
  </w:style>
  <w:style w:type="character" w:styleId="28">
    <w:name w:val="page number"/>
    <w:basedOn w:val="27"/>
    <w:uiPriority w:val="0"/>
  </w:style>
  <w:style w:type="character" w:styleId="29">
    <w:name w:val="FollowedHyperlink"/>
    <w:uiPriority w:val="99"/>
    <w:rPr>
      <w:color w:val="800080"/>
      <w:u w:val="single"/>
    </w:rPr>
  </w:style>
  <w:style w:type="character" w:styleId="30">
    <w:name w:val="Emphasis"/>
    <w:qFormat/>
    <w:uiPriority w:val="99"/>
    <w:rPr>
      <w:rFonts w:cs="Times New Roman"/>
      <w:i/>
      <w:iCs/>
    </w:rPr>
  </w:style>
  <w:style w:type="character" w:styleId="31">
    <w:name w:val="Hyperlink"/>
    <w:qFormat/>
    <w:uiPriority w:val="99"/>
    <w:rPr>
      <w:color w:val="0000FF"/>
      <w:u w:val="single"/>
    </w:rPr>
  </w:style>
  <w:style w:type="character" w:styleId="32">
    <w:name w:val="annotation reference"/>
    <w:qFormat/>
    <w:uiPriority w:val="99"/>
    <w:rPr>
      <w:rFonts w:cs="Times New Roman"/>
      <w:sz w:val="21"/>
      <w:szCs w:val="21"/>
    </w:rPr>
  </w:style>
  <w:style w:type="character" w:styleId="33">
    <w:name w:val="footnote reference"/>
    <w:uiPriority w:val="99"/>
    <w:rPr>
      <w:rFonts w:cs="Times New Roman"/>
      <w:vertAlign w:val="superscript"/>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6">
    <w:name w:val="Light Shading Accent 5"/>
    <w:basedOn w:val="34"/>
    <w:qFormat/>
    <w:uiPriority w:val="99"/>
    <w:rPr>
      <w:rFonts w:ascii="Calibri" w:hAnsi="Calibri" w:eastAsia="宋体" w:cs="Calibri"/>
      <w:color w:val="31849B"/>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rPr>
      <w:tblPr>
        <w:tblLayout w:type="fixed"/>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Lines="0" w:beforeAutospacing="0" w:afterLines="0" w:afterAutospacing="0"/>
      </w:pPr>
      <w:rPr>
        <w:b/>
        <w:bCs/>
      </w:rPr>
      <w:tblPr>
        <w:tblLayout w:type="fixed"/>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D2EAF1"/>
      </w:tcPr>
    </w:tblStylePr>
    <w:tblStylePr w:type="band1Horz">
      <w:tblPr>
        <w:tblLayout w:type="fixed"/>
      </w:tblPr>
      <w:tcPr>
        <w:tcBorders>
          <w:top w:val="nil"/>
          <w:left w:val="nil"/>
          <w:bottom w:val="nil"/>
          <w:right w:val="nil"/>
          <w:insideH w:val="nil"/>
          <w:insideV w:val="nil"/>
          <w:tl2br w:val="nil"/>
          <w:tr2bl w:val="nil"/>
        </w:tcBorders>
        <w:shd w:val="clear" w:color="auto" w:fill="D2EAF1"/>
      </w:tcPr>
    </w:tblStylePr>
  </w:style>
  <w:style w:type="table" w:styleId="37">
    <w:name w:val="Light List Accent 2"/>
    <w:basedOn w:val="34"/>
    <w:uiPriority w:val="99"/>
    <w:rPr>
      <w:rFonts w:ascii="Calibri" w:hAnsi="Calibri" w:eastAsia="宋体" w:cs="Calibri"/>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C0504D"/>
      </w:tcPr>
    </w:tblStylePr>
    <w:tblStylePr w:type="lastRow">
      <w:pPr>
        <w:spacing w:beforeLines="0" w:beforeAutospacing="0" w:afterLines="0" w:afterAutospacing="0"/>
      </w:pPr>
      <w:rPr>
        <w:b/>
        <w:bCs/>
      </w:rPr>
      <w:tblPr>
        <w:tblLayout w:type="fixed"/>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38">
    <w:name w:val="Light List Accent 3"/>
    <w:basedOn w:val="34"/>
    <w:uiPriority w:val="99"/>
    <w:rPr>
      <w:rFonts w:ascii="Calibri" w:hAnsi="Calibri" w:eastAsia="宋体" w:cs="Calibri"/>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9BBB59"/>
      </w:tcPr>
    </w:tblStylePr>
    <w:tblStylePr w:type="lastRow">
      <w:pPr>
        <w:spacing w:beforeLines="0" w:beforeAutospacing="0" w:afterLines="0" w:afterAutospacing="0"/>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39">
    <w:name w:val="Light List Accent 4"/>
    <w:basedOn w:val="34"/>
    <w:uiPriority w:val="99"/>
    <w:rPr>
      <w:rFonts w:ascii="Calibri" w:hAnsi="Calibri" w:eastAsia="宋体" w:cs="Calibri"/>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8064A2"/>
      </w:tcPr>
    </w:tblStylePr>
    <w:tblStylePr w:type="lastRow">
      <w:pPr>
        <w:spacing w:beforeLines="0" w:beforeAutospacing="0" w:afterLines="0" w:afterAutospacing="0"/>
      </w:pPr>
      <w:rPr>
        <w:b/>
        <w:bCs/>
      </w:rPr>
      <w:tblPr>
        <w:tblLayout w:type="fixed"/>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40">
    <w:name w:val="Light List Accent 5"/>
    <w:basedOn w:val="34"/>
    <w:uiPriority w:val="99"/>
    <w:rPr>
      <w:rFonts w:ascii="Calibri" w:hAnsi="Calibri" w:eastAsia="宋体" w:cs="Calibri"/>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4BACC6"/>
      </w:tcPr>
    </w:tblStylePr>
    <w:tblStylePr w:type="lastRow">
      <w:pPr>
        <w:spacing w:beforeLines="0" w:beforeAutospacing="0" w:afterLines="0" w:afterAutospacing="0"/>
      </w:pPr>
      <w:rPr>
        <w:b/>
        <w:bCs/>
      </w:rPr>
      <w:tblPr>
        <w:tblLayout w:type="fixed"/>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customStyle="1" w:styleId="41">
    <w:name w:val="页眉 Char"/>
    <w:basedOn w:val="27"/>
    <w:link w:val="19"/>
    <w:qFormat/>
    <w:uiPriority w:val="99"/>
    <w:rPr>
      <w:sz w:val="18"/>
      <w:szCs w:val="18"/>
    </w:rPr>
  </w:style>
  <w:style w:type="character" w:customStyle="1" w:styleId="42">
    <w:name w:val="页脚 Char"/>
    <w:basedOn w:val="27"/>
    <w:link w:val="18"/>
    <w:uiPriority w:val="99"/>
    <w:rPr>
      <w:sz w:val="18"/>
      <w:szCs w:val="18"/>
    </w:rPr>
  </w:style>
  <w:style w:type="character" w:customStyle="1" w:styleId="43">
    <w:name w:val="批注框文本 Char"/>
    <w:basedOn w:val="27"/>
    <w:link w:val="17"/>
    <w:uiPriority w:val="99"/>
    <w:rPr>
      <w:sz w:val="18"/>
      <w:szCs w:val="18"/>
    </w:rPr>
  </w:style>
  <w:style w:type="character" w:customStyle="1" w:styleId="44">
    <w:name w:val="正文文本 Char"/>
    <w:basedOn w:val="27"/>
    <w:link w:val="13"/>
    <w:uiPriority w:val="0"/>
    <w:rPr>
      <w:rFonts w:ascii="Times New Roman" w:hAnsi="Times New Roman" w:eastAsia="文星仿宋" w:cs="Times New Roman"/>
      <w:sz w:val="32"/>
      <w:szCs w:val="24"/>
    </w:rPr>
  </w:style>
  <w:style w:type="character" w:customStyle="1" w:styleId="45">
    <w:name w:val="日期 Char"/>
    <w:basedOn w:val="27"/>
    <w:link w:val="16"/>
    <w:uiPriority w:val="99"/>
  </w:style>
  <w:style w:type="character" w:customStyle="1" w:styleId="46">
    <w:name w:val="标题 1 Char"/>
    <w:basedOn w:val="27"/>
    <w:link w:val="2"/>
    <w:uiPriority w:val="99"/>
    <w:rPr>
      <w:rFonts w:ascii="Calibri" w:hAnsi="Calibri" w:eastAsia="黑体" w:cs="Times New Roman"/>
      <w:b/>
      <w:bCs/>
      <w:kern w:val="44"/>
      <w:sz w:val="44"/>
      <w:szCs w:val="44"/>
    </w:rPr>
  </w:style>
  <w:style w:type="character" w:customStyle="1" w:styleId="47">
    <w:name w:val="标题 2 Char"/>
    <w:basedOn w:val="27"/>
    <w:link w:val="3"/>
    <w:uiPriority w:val="99"/>
    <w:rPr>
      <w:rFonts w:ascii="Cambria" w:hAnsi="Cambria" w:eastAsia="宋体" w:cs="Times New Roman"/>
      <w:b/>
      <w:bCs/>
      <w:sz w:val="32"/>
      <w:szCs w:val="32"/>
    </w:rPr>
  </w:style>
  <w:style w:type="character" w:customStyle="1" w:styleId="48">
    <w:name w:val="标题 3 Char"/>
    <w:basedOn w:val="27"/>
    <w:link w:val="4"/>
    <w:uiPriority w:val="99"/>
    <w:rPr>
      <w:rFonts w:ascii="Calibri" w:hAnsi="Calibri" w:eastAsia="楷体_GB2312" w:cs="Times New Roman"/>
      <w:b/>
      <w:bCs/>
      <w:sz w:val="32"/>
      <w:szCs w:val="32"/>
    </w:rPr>
  </w:style>
  <w:style w:type="character" w:customStyle="1" w:styleId="49">
    <w:name w:val="标题 4 Char"/>
    <w:basedOn w:val="27"/>
    <w:link w:val="5"/>
    <w:uiPriority w:val="99"/>
    <w:rPr>
      <w:rFonts w:ascii="Cambria" w:hAnsi="Cambria" w:eastAsia="宋体" w:cs="Times New Roman"/>
      <w:b/>
      <w:bCs/>
      <w:sz w:val="28"/>
      <w:szCs w:val="28"/>
    </w:rPr>
  </w:style>
  <w:style w:type="character" w:customStyle="1" w:styleId="50">
    <w:name w:val="标题 5 Char"/>
    <w:basedOn w:val="27"/>
    <w:link w:val="6"/>
    <w:uiPriority w:val="99"/>
    <w:rPr>
      <w:rFonts w:ascii="Calibri" w:hAnsi="Calibri" w:eastAsia="宋体" w:cs="Times New Roman"/>
      <w:b/>
      <w:bCs/>
      <w:kern w:val="0"/>
      <w:sz w:val="28"/>
      <w:szCs w:val="28"/>
    </w:rPr>
  </w:style>
  <w:style w:type="character" w:customStyle="1" w:styleId="51">
    <w:name w:val="标题 6 Char"/>
    <w:basedOn w:val="27"/>
    <w:link w:val="7"/>
    <w:uiPriority w:val="99"/>
    <w:rPr>
      <w:rFonts w:ascii="Cambria" w:hAnsi="Cambria" w:eastAsia="宋体" w:cs="Times New Roman"/>
      <w:b/>
      <w:bCs/>
      <w:sz w:val="24"/>
      <w:szCs w:val="24"/>
    </w:rPr>
  </w:style>
  <w:style w:type="character" w:customStyle="1" w:styleId="52">
    <w:name w:val="标题 8 Char"/>
    <w:basedOn w:val="27"/>
    <w:link w:val="8"/>
    <w:qFormat/>
    <w:uiPriority w:val="99"/>
    <w:rPr>
      <w:rFonts w:ascii="Cambria" w:hAnsi="Cambria" w:eastAsia="宋体" w:cs="Times New Roman"/>
      <w:kern w:val="0"/>
      <w:sz w:val="24"/>
      <w:szCs w:val="24"/>
      <w:lang w:eastAsia="en-US"/>
    </w:rPr>
  </w:style>
  <w:style w:type="character" w:customStyle="1" w:styleId="53">
    <w:name w:val="RedHighlight Char"/>
    <w:link w:val="54"/>
    <w:locked/>
    <w:uiPriority w:val="99"/>
    <w:rPr>
      <w:rFonts w:ascii="Franklin Gothic Medium" w:hAnsi="Franklin Gothic Medium"/>
      <w:i/>
      <w:color w:val="C00000"/>
      <w:sz w:val="22"/>
    </w:rPr>
  </w:style>
  <w:style w:type="paragraph" w:customStyle="1" w:styleId="54">
    <w:name w:val="RedHighlight"/>
    <w:basedOn w:val="1"/>
    <w:link w:val="53"/>
    <w:uiPriority w:val="99"/>
    <w:pPr>
      <w:widowControl/>
      <w:spacing w:line="240" w:lineRule="exact"/>
      <w:jc w:val="left"/>
    </w:pPr>
    <w:rPr>
      <w:rFonts w:ascii="Franklin Gothic Medium" w:hAnsi="Franklin Gothic Medium"/>
      <w:i/>
      <w:color w:val="C00000"/>
      <w:sz w:val="22"/>
    </w:rPr>
  </w:style>
  <w:style w:type="character" w:customStyle="1" w:styleId="55">
    <w:name w:val="页脚 Char2"/>
    <w:uiPriority w:val="99"/>
    <w:rPr>
      <w:sz w:val="18"/>
    </w:rPr>
  </w:style>
  <w:style w:type="character" w:customStyle="1" w:styleId="56">
    <w:name w:val="脚注文本 Char"/>
    <w:link w:val="22"/>
    <w:uiPriority w:val="99"/>
    <w:rPr>
      <w:sz w:val="18"/>
      <w:szCs w:val="18"/>
    </w:rPr>
  </w:style>
  <w:style w:type="character" w:customStyle="1" w:styleId="57">
    <w:name w:val="页眉 Char2"/>
    <w:uiPriority w:val="99"/>
    <w:rPr>
      <w:sz w:val="18"/>
    </w:rPr>
  </w:style>
  <w:style w:type="character" w:customStyle="1" w:styleId="58">
    <w:name w:val="页眉 Char1"/>
    <w:semiHidden/>
    <w:uiPriority w:val="99"/>
    <w:rPr>
      <w:rFonts w:ascii="仿宋_GB2312" w:eastAsia="仿宋_GB2312"/>
      <w:kern w:val="2"/>
      <w:sz w:val="18"/>
    </w:rPr>
  </w:style>
  <w:style w:type="character" w:customStyle="1" w:styleId="59">
    <w:name w:val="标题 Char"/>
    <w:link w:val="26"/>
    <w:qFormat/>
    <w:uiPriority w:val="99"/>
    <w:rPr>
      <w:rFonts w:ascii="Cambria" w:hAnsi="Cambria"/>
      <w:b/>
      <w:bCs/>
      <w:sz w:val="32"/>
      <w:szCs w:val="32"/>
    </w:rPr>
  </w:style>
  <w:style w:type="character" w:customStyle="1" w:styleId="60">
    <w:name w:val="jqtransformradiowrapper1"/>
    <w:uiPriority w:val="99"/>
  </w:style>
  <w:style w:type="character" w:customStyle="1" w:styleId="61">
    <w:name w:val="Response Coding Numeral Char"/>
    <w:link w:val="62"/>
    <w:locked/>
    <w:uiPriority w:val="99"/>
    <w:rPr>
      <w:rFonts w:ascii="Arial" w:hAnsi="Arial"/>
      <w:sz w:val="16"/>
    </w:rPr>
  </w:style>
  <w:style w:type="paragraph" w:customStyle="1" w:styleId="62">
    <w:name w:val="Response Coding Numeral"/>
    <w:basedOn w:val="1"/>
    <w:link w:val="61"/>
    <w:uiPriority w:val="99"/>
    <w:pPr>
      <w:widowControl/>
      <w:tabs>
        <w:tab w:val="left" w:leader="dot" w:pos="3240"/>
      </w:tabs>
      <w:ind w:left="1440"/>
      <w:jc w:val="left"/>
    </w:pPr>
    <w:rPr>
      <w:rFonts w:ascii="Arial" w:hAnsi="Arial"/>
      <w:sz w:val="16"/>
    </w:rPr>
  </w:style>
  <w:style w:type="character" w:customStyle="1" w:styleId="63">
    <w:name w:val="qlabel"/>
    <w:uiPriority w:val="99"/>
  </w:style>
  <w:style w:type="character" w:customStyle="1" w:styleId="64">
    <w:name w:val="副标题 Char"/>
    <w:link w:val="21"/>
    <w:uiPriority w:val="99"/>
    <w:rPr>
      <w:rFonts w:ascii="Cambria" w:hAnsi="Cambria" w:eastAsia="楷体_GB2312"/>
      <w:b/>
      <w:bCs/>
      <w:kern w:val="28"/>
      <w:sz w:val="32"/>
      <w:szCs w:val="32"/>
    </w:rPr>
  </w:style>
  <w:style w:type="character" w:customStyle="1" w:styleId="65">
    <w:name w:val="批注文字 Char"/>
    <w:qFormat/>
    <w:uiPriority w:val="99"/>
    <w:rPr>
      <w:rFonts w:ascii="Calibri" w:hAnsi="Calibri"/>
      <w:kern w:val="2"/>
      <w:sz w:val="22"/>
      <w:szCs w:val="22"/>
    </w:rPr>
  </w:style>
  <w:style w:type="character" w:customStyle="1" w:styleId="66">
    <w:name w:val="页脚 Char1"/>
    <w:semiHidden/>
    <w:uiPriority w:val="99"/>
    <w:rPr>
      <w:rFonts w:ascii="仿宋_GB2312" w:eastAsia="仿宋_GB2312"/>
      <w:kern w:val="2"/>
      <w:sz w:val="18"/>
    </w:rPr>
  </w:style>
  <w:style w:type="character" w:customStyle="1" w:styleId="67">
    <w:name w:val="js-component-label"/>
    <w:qFormat/>
    <w:uiPriority w:val="99"/>
  </w:style>
  <w:style w:type="character" w:customStyle="1" w:styleId="68">
    <w:name w:val="批注框文本 Char2"/>
    <w:semiHidden/>
    <w:uiPriority w:val="99"/>
    <w:rPr>
      <w:kern w:val="2"/>
      <w:sz w:val="18"/>
    </w:rPr>
  </w:style>
  <w:style w:type="character" w:customStyle="1" w:styleId="69">
    <w:name w:val="访问过的超链接"/>
    <w:qFormat/>
    <w:uiPriority w:val="99"/>
    <w:rPr>
      <w:color w:val="800080"/>
      <w:u w:val="single"/>
    </w:rPr>
  </w:style>
  <w:style w:type="character" w:customStyle="1" w:styleId="70">
    <w:name w:val="Response Char"/>
    <w:link w:val="71"/>
    <w:qFormat/>
    <w:locked/>
    <w:uiPriority w:val="99"/>
    <w:rPr>
      <w:rFonts w:ascii="Arial" w:hAnsi="Arial"/>
    </w:rPr>
  </w:style>
  <w:style w:type="paragraph" w:customStyle="1" w:styleId="71">
    <w:name w:val="Response"/>
    <w:basedOn w:val="1"/>
    <w:link w:val="70"/>
    <w:qFormat/>
    <w:uiPriority w:val="99"/>
    <w:pPr>
      <w:widowControl/>
      <w:tabs>
        <w:tab w:val="left" w:leader="dot" w:pos="4680"/>
      </w:tabs>
      <w:spacing w:after="40"/>
      <w:ind w:left="1440"/>
      <w:jc w:val="left"/>
    </w:pPr>
    <w:rPr>
      <w:rFonts w:ascii="Arial" w:hAnsi="Arial"/>
    </w:rPr>
  </w:style>
  <w:style w:type="character" w:customStyle="1" w:styleId="72">
    <w:name w:val="Questionnaire Red Char"/>
    <w:link w:val="73"/>
    <w:qFormat/>
    <w:locked/>
    <w:uiPriority w:val="99"/>
    <w:rPr>
      <w:rFonts w:ascii="Franklin Gothic Medium" w:hAnsi="Franklin Gothic Medium"/>
      <w:color w:val="FF0000"/>
    </w:rPr>
  </w:style>
  <w:style w:type="paragraph" w:customStyle="1" w:styleId="73">
    <w:name w:val="Questionnaire Red"/>
    <w:basedOn w:val="1"/>
    <w:link w:val="72"/>
    <w:uiPriority w:val="99"/>
    <w:pPr>
      <w:widowControl/>
      <w:tabs>
        <w:tab w:val="left" w:leader="dot" w:pos="4680"/>
      </w:tabs>
      <w:spacing w:after="40"/>
      <w:ind w:left="720"/>
      <w:jc w:val="left"/>
    </w:pPr>
    <w:rPr>
      <w:rFonts w:ascii="Franklin Gothic Medium" w:hAnsi="Franklin Gothic Medium"/>
      <w:color w:val="FF0000"/>
    </w:rPr>
  </w:style>
  <w:style w:type="character" w:customStyle="1" w:styleId="74">
    <w:name w:val="副标题 Char2"/>
    <w:uiPriority w:val="99"/>
    <w:rPr>
      <w:rFonts w:ascii="Cambria" w:hAnsi="Cambria"/>
      <w:b/>
      <w:kern w:val="28"/>
      <w:sz w:val="32"/>
    </w:rPr>
  </w:style>
  <w:style w:type="character" w:customStyle="1" w:styleId="75">
    <w:name w:val="副标题 Char1"/>
    <w:qFormat/>
    <w:uiPriority w:val="99"/>
    <w:rPr>
      <w:rFonts w:ascii="Cambria" w:hAnsi="Cambria" w:eastAsia="宋体"/>
      <w:b/>
      <w:kern w:val="28"/>
      <w:sz w:val="32"/>
    </w:rPr>
  </w:style>
  <w:style w:type="character" w:customStyle="1" w:styleId="76">
    <w:name w:val="批注主题 Char"/>
    <w:link w:val="9"/>
    <w:uiPriority w:val="99"/>
    <w:rPr>
      <w:rFonts w:ascii="Calibri" w:hAnsi="Calibri"/>
      <w:b/>
      <w:bCs/>
      <w:sz w:val="22"/>
    </w:rPr>
  </w:style>
  <w:style w:type="character" w:customStyle="1" w:styleId="77">
    <w:name w:val="HTML 预设格式 Char"/>
    <w:link w:val="24"/>
    <w:uiPriority w:val="99"/>
    <w:rPr>
      <w:rFonts w:ascii="Courier New" w:hAnsi="Courier New"/>
    </w:rPr>
  </w:style>
  <w:style w:type="character" w:customStyle="1" w:styleId="78">
    <w:name w:val="Bullet List 6pt Char"/>
    <w:link w:val="79"/>
    <w:locked/>
    <w:uiPriority w:val="99"/>
    <w:rPr>
      <w:rFonts w:ascii="Arial" w:hAnsi="Arial"/>
    </w:rPr>
  </w:style>
  <w:style w:type="paragraph" w:customStyle="1" w:styleId="79">
    <w:name w:val="Bullet List 6pt"/>
    <w:basedOn w:val="80"/>
    <w:link w:val="78"/>
    <w:qFormat/>
    <w:uiPriority w:val="99"/>
    <w:pPr>
      <w:tabs>
        <w:tab w:val="left" w:pos="864"/>
      </w:tabs>
      <w:spacing w:after="120"/>
    </w:pPr>
  </w:style>
  <w:style w:type="paragraph" w:customStyle="1" w:styleId="80">
    <w:name w:val="Bullet List 12pt"/>
    <w:basedOn w:val="81"/>
    <w:link w:val="85"/>
    <w:qFormat/>
    <w:uiPriority w:val="99"/>
    <w:pPr>
      <w:tabs>
        <w:tab w:val="left" w:pos="864"/>
      </w:tabs>
      <w:spacing w:after="240" w:line="280" w:lineRule="atLeast"/>
      <w:ind w:left="1152" w:hanging="706" w:firstLineChars="0"/>
    </w:pPr>
    <w:rPr>
      <w:rFonts w:ascii="Arial" w:hAnsi="Arial" w:eastAsiaTheme="minorEastAsia" w:cstheme="minorBidi"/>
      <w:szCs w:val="22"/>
    </w:rPr>
  </w:style>
  <w:style w:type="paragraph" w:styleId="81">
    <w:name w:val="List Paragraph"/>
    <w:basedOn w:val="1"/>
    <w:qFormat/>
    <w:uiPriority w:val="99"/>
    <w:pPr>
      <w:spacing w:line="360" w:lineRule="auto"/>
      <w:ind w:firstLine="420" w:firstLineChars="200"/>
    </w:pPr>
    <w:rPr>
      <w:rFonts w:ascii="Calibri" w:hAnsi="Calibri" w:eastAsia="宋体" w:cs="Calibri"/>
      <w:szCs w:val="21"/>
    </w:rPr>
  </w:style>
  <w:style w:type="character" w:customStyle="1" w:styleId="82">
    <w:name w:val="正文文本缩进 Char"/>
    <w:link w:val="14"/>
    <w:uiPriority w:val="99"/>
    <w:rPr>
      <w:sz w:val="24"/>
      <w:szCs w:val="24"/>
    </w:rPr>
  </w:style>
  <w:style w:type="character" w:customStyle="1" w:styleId="83">
    <w:name w:val="Footer Char"/>
    <w:qFormat/>
    <w:locked/>
    <w:uiPriority w:val="99"/>
    <w:rPr>
      <w:rFonts w:ascii="Times New Roman" w:hAnsi="Times New Roman" w:cs="Times New Roman"/>
      <w:sz w:val="24"/>
      <w:szCs w:val="24"/>
      <w:lang w:eastAsia="zh-CN"/>
    </w:rPr>
  </w:style>
  <w:style w:type="character" w:customStyle="1" w:styleId="84">
    <w:name w:val="批注框文本 Char1"/>
    <w:semiHidden/>
    <w:qFormat/>
    <w:uiPriority w:val="99"/>
    <w:rPr>
      <w:sz w:val="18"/>
    </w:rPr>
  </w:style>
  <w:style w:type="character" w:customStyle="1" w:styleId="85">
    <w:name w:val="Bullet List 12pt Char"/>
    <w:link w:val="80"/>
    <w:qFormat/>
    <w:locked/>
    <w:uiPriority w:val="99"/>
    <w:rPr>
      <w:rFonts w:ascii="Arial" w:hAnsi="Arial"/>
    </w:rPr>
  </w:style>
  <w:style w:type="character" w:customStyle="1" w:styleId="86">
    <w:name w:val="页眉 Char3"/>
    <w:basedOn w:val="27"/>
    <w:semiHidden/>
    <w:uiPriority w:val="99"/>
    <w:rPr>
      <w:rFonts w:ascii="Calibri" w:hAnsi="Calibri" w:eastAsia="宋体" w:cs="Times New Roman"/>
      <w:sz w:val="18"/>
      <w:szCs w:val="18"/>
    </w:rPr>
  </w:style>
  <w:style w:type="character" w:customStyle="1" w:styleId="87">
    <w:name w:val="批注框文本 Char3"/>
    <w:basedOn w:val="27"/>
    <w:semiHidden/>
    <w:qFormat/>
    <w:uiPriority w:val="99"/>
    <w:rPr>
      <w:rFonts w:ascii="Calibri" w:hAnsi="Calibri" w:eastAsia="宋体" w:cs="Times New Roman"/>
      <w:sz w:val="18"/>
      <w:szCs w:val="18"/>
    </w:rPr>
  </w:style>
  <w:style w:type="character" w:customStyle="1" w:styleId="88">
    <w:name w:val="日期 Char1"/>
    <w:basedOn w:val="27"/>
    <w:semiHidden/>
    <w:uiPriority w:val="99"/>
    <w:rPr>
      <w:rFonts w:ascii="Calibri" w:hAnsi="Calibri" w:eastAsia="宋体" w:cs="Times New Roman"/>
      <w:szCs w:val="24"/>
    </w:rPr>
  </w:style>
  <w:style w:type="character" w:customStyle="1" w:styleId="89">
    <w:name w:val="称呼 Char"/>
    <w:basedOn w:val="27"/>
    <w:link w:val="11"/>
    <w:qFormat/>
    <w:uiPriority w:val="0"/>
    <w:rPr>
      <w:rFonts w:ascii="仿宋_GB2312" w:hAnsi="宋体" w:eastAsia="仿宋_GB2312" w:cs="Times New Roman"/>
      <w:color w:val="000000"/>
      <w:sz w:val="28"/>
      <w:szCs w:val="28"/>
      <w:lang w:val="en-GB"/>
    </w:rPr>
  </w:style>
  <w:style w:type="character" w:customStyle="1" w:styleId="90">
    <w:name w:val="批注文字 Char1"/>
    <w:basedOn w:val="27"/>
    <w:link w:val="10"/>
    <w:uiPriority w:val="99"/>
    <w:rPr>
      <w:rFonts w:ascii="Calibri" w:hAnsi="Calibri" w:eastAsia="宋体" w:cs="Times New Roman"/>
      <w:szCs w:val="24"/>
    </w:rPr>
  </w:style>
  <w:style w:type="character" w:customStyle="1" w:styleId="91">
    <w:name w:val="批注主题 Char1"/>
    <w:basedOn w:val="90"/>
    <w:link w:val="9"/>
    <w:semiHidden/>
    <w:qFormat/>
    <w:uiPriority w:val="99"/>
    <w:rPr>
      <w:b/>
      <w:bCs/>
    </w:rPr>
  </w:style>
  <w:style w:type="character" w:customStyle="1" w:styleId="92">
    <w:name w:val="结束语 Char"/>
    <w:basedOn w:val="27"/>
    <w:link w:val="12"/>
    <w:qFormat/>
    <w:uiPriority w:val="0"/>
    <w:rPr>
      <w:rFonts w:ascii="仿宋_GB2312" w:hAnsi="宋体" w:eastAsia="仿宋_GB2312" w:cs="Times New Roman"/>
      <w:color w:val="000000"/>
      <w:sz w:val="28"/>
      <w:szCs w:val="28"/>
      <w:lang w:val="en-GB"/>
    </w:rPr>
  </w:style>
  <w:style w:type="character" w:customStyle="1" w:styleId="93">
    <w:name w:val="副标题 Char3"/>
    <w:basedOn w:val="27"/>
    <w:link w:val="21"/>
    <w:qFormat/>
    <w:uiPriority w:val="11"/>
    <w:rPr>
      <w:rFonts w:eastAsia="宋体" w:asciiTheme="majorHAnsi" w:hAnsiTheme="majorHAnsi" w:cstheme="majorBidi"/>
      <w:b/>
      <w:bCs/>
      <w:kern w:val="28"/>
      <w:sz w:val="32"/>
      <w:szCs w:val="32"/>
    </w:rPr>
  </w:style>
  <w:style w:type="character" w:customStyle="1" w:styleId="94">
    <w:name w:val="页脚 Char3"/>
    <w:basedOn w:val="27"/>
    <w:semiHidden/>
    <w:uiPriority w:val="99"/>
    <w:rPr>
      <w:rFonts w:ascii="Calibri" w:hAnsi="Calibri" w:eastAsia="宋体" w:cs="Times New Roman"/>
      <w:sz w:val="18"/>
      <w:szCs w:val="18"/>
    </w:rPr>
  </w:style>
  <w:style w:type="character" w:customStyle="1" w:styleId="95">
    <w:name w:val="正文文本缩进 Char1"/>
    <w:basedOn w:val="27"/>
    <w:link w:val="14"/>
    <w:semiHidden/>
    <w:uiPriority w:val="99"/>
  </w:style>
  <w:style w:type="paragraph" w:customStyle="1" w:styleId="96">
    <w:name w:val="xl65"/>
    <w:basedOn w:val="1"/>
    <w:uiPriority w:val="99"/>
    <w:pPr>
      <w:widowControl/>
      <w:spacing w:before="100" w:beforeAutospacing="1" w:after="100" w:afterAutospacing="1"/>
      <w:jc w:val="center"/>
    </w:pPr>
    <w:rPr>
      <w:rFonts w:ascii="Calibri" w:hAnsi="Calibri" w:eastAsia="宋体" w:cs="Times New Roman"/>
      <w:kern w:val="0"/>
      <w:sz w:val="24"/>
      <w:szCs w:val="24"/>
    </w:rPr>
  </w:style>
  <w:style w:type="paragraph" w:customStyle="1" w:styleId="97">
    <w:name w:val="xl87"/>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98">
    <w:name w:val="font7"/>
    <w:basedOn w:val="1"/>
    <w:uiPriority w:val="99"/>
    <w:pPr>
      <w:widowControl/>
      <w:spacing w:before="100" w:beforeAutospacing="1" w:after="100" w:afterAutospacing="1"/>
      <w:jc w:val="left"/>
    </w:pPr>
    <w:rPr>
      <w:rFonts w:ascii="宋体" w:hAnsi="宋体" w:eastAsia="宋体" w:cs="宋体"/>
      <w:b/>
      <w:bCs/>
      <w:color w:val="000000"/>
      <w:kern w:val="0"/>
      <w:szCs w:val="21"/>
    </w:rPr>
  </w:style>
  <w:style w:type="paragraph" w:customStyle="1" w:styleId="99">
    <w:name w:val="xl100"/>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0">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01">
    <w:name w:val="font11"/>
    <w:basedOn w:val="1"/>
    <w:uiPriority w:val="99"/>
    <w:pPr>
      <w:widowControl/>
      <w:spacing w:before="100" w:beforeAutospacing="1" w:after="100" w:afterAutospacing="1"/>
      <w:jc w:val="left"/>
    </w:pPr>
    <w:rPr>
      <w:rFonts w:ascii="Calibri" w:hAnsi="Calibri" w:eastAsia="宋体" w:cs="Times New Roman"/>
      <w:color w:val="000000"/>
      <w:kern w:val="0"/>
      <w:sz w:val="22"/>
    </w:rPr>
  </w:style>
  <w:style w:type="character" w:customStyle="1" w:styleId="102">
    <w:name w:val="脚注文本 Char1"/>
    <w:basedOn w:val="27"/>
    <w:link w:val="22"/>
    <w:semiHidden/>
    <w:uiPriority w:val="99"/>
    <w:rPr>
      <w:sz w:val="18"/>
      <w:szCs w:val="18"/>
    </w:rPr>
  </w:style>
  <w:style w:type="paragraph" w:customStyle="1" w:styleId="103">
    <w:name w:val="xl92"/>
    <w:basedOn w:val="1"/>
    <w:uiPriority w:val="99"/>
    <w:pPr>
      <w:widowControl/>
      <w:pBdr>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04">
    <w:name w:val="CoverTitleLine1"/>
    <w:basedOn w:val="1"/>
    <w:uiPriority w:val="99"/>
    <w:pPr>
      <w:widowControl/>
      <w:tabs>
        <w:tab w:val="left" w:pos="432"/>
      </w:tabs>
      <w:jc w:val="right"/>
    </w:pPr>
    <w:rPr>
      <w:rFonts w:ascii="Arial" w:hAnsi="Arial" w:eastAsia="宋体" w:cs="Arial"/>
      <w:b/>
      <w:bCs/>
      <w:kern w:val="0"/>
      <w:sz w:val="44"/>
      <w:szCs w:val="44"/>
      <w:lang w:eastAsia="en-US"/>
    </w:rPr>
  </w:style>
  <w:style w:type="paragraph" w:customStyle="1" w:styleId="105">
    <w:name w:val="xl96"/>
    <w:basedOn w:val="1"/>
    <w:uiPriority w:val="99"/>
    <w:pPr>
      <w:widowControl/>
      <w:pBdr>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06">
    <w:name w:val="列出段落2"/>
    <w:basedOn w:val="1"/>
    <w:uiPriority w:val="99"/>
    <w:pPr>
      <w:ind w:firstLine="420" w:firstLineChars="200"/>
    </w:pPr>
    <w:rPr>
      <w:rFonts w:ascii="Calibri" w:hAnsi="Calibri" w:eastAsia="宋体" w:cs="Times New Roman"/>
      <w:szCs w:val="21"/>
    </w:rPr>
  </w:style>
  <w:style w:type="paragraph" w:customStyle="1" w:styleId="107">
    <w:name w:val="Standard"/>
    <w:uiPriority w:val="0"/>
    <w:pPr>
      <w:suppressAutoHyphens/>
      <w:autoSpaceDN w:val="0"/>
      <w:textAlignment w:val="baseline"/>
    </w:pPr>
    <w:rPr>
      <w:rFonts w:ascii="Calibri" w:hAnsi="Calibri" w:eastAsia="宋体" w:cs="Arial Unicode MS"/>
      <w:kern w:val="3"/>
      <w:sz w:val="24"/>
      <w:szCs w:val="24"/>
      <w:lang w:val="en-US" w:eastAsia="zh-CN" w:bidi="hi-IN"/>
    </w:rPr>
  </w:style>
  <w:style w:type="paragraph" w:customStyle="1" w:styleId="108">
    <w:name w:val="列出段落3"/>
    <w:basedOn w:val="1"/>
    <w:uiPriority w:val="99"/>
    <w:pPr>
      <w:ind w:firstLine="420" w:firstLineChars="200"/>
    </w:pPr>
    <w:rPr>
      <w:rFonts w:ascii="Calibri" w:hAnsi="Calibri" w:eastAsia="宋体" w:cs="Calibri"/>
      <w:szCs w:val="21"/>
    </w:rPr>
  </w:style>
  <w:style w:type="paragraph" w:customStyle="1" w:styleId="109">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10">
    <w:name w:val="xl88"/>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1">
    <w:name w:val="font10"/>
    <w:basedOn w:val="1"/>
    <w:uiPriority w:val="99"/>
    <w:pPr>
      <w:widowControl/>
      <w:spacing w:before="100" w:beforeAutospacing="1" w:after="100" w:afterAutospacing="1"/>
      <w:jc w:val="left"/>
    </w:pPr>
    <w:rPr>
      <w:rFonts w:ascii="Calibri" w:hAnsi="Calibri" w:eastAsia="宋体" w:cs="Times New Roman"/>
      <w:color w:val="000000"/>
      <w:kern w:val="0"/>
      <w:sz w:val="22"/>
    </w:rPr>
  </w:style>
  <w:style w:type="paragraph" w:customStyle="1" w:styleId="112">
    <w:name w:val="xl67"/>
    <w:basedOn w:val="1"/>
    <w:uiPriority w:val="99"/>
    <w:pPr>
      <w:widowControl/>
      <w:spacing w:before="100" w:beforeAutospacing="1" w:after="100" w:afterAutospacing="1"/>
      <w:jc w:val="left"/>
    </w:pPr>
    <w:rPr>
      <w:rFonts w:ascii="Calibri" w:hAnsi="Calibri" w:eastAsia="宋体" w:cs="Times New Roman"/>
      <w:kern w:val="0"/>
      <w:sz w:val="24"/>
      <w:szCs w:val="24"/>
    </w:rPr>
  </w:style>
  <w:style w:type="paragraph" w:customStyle="1" w:styleId="113">
    <w:name w:val="xl78"/>
    <w:basedOn w:val="1"/>
    <w:uiPriority w:val="99"/>
    <w:pPr>
      <w:widowControl/>
      <w:spacing w:before="100" w:beforeAutospacing="1" w:after="100" w:afterAutospacing="1"/>
      <w:jc w:val="left"/>
    </w:pPr>
    <w:rPr>
      <w:rFonts w:ascii="宋体" w:hAnsi="宋体" w:eastAsia="宋体" w:cs="宋体"/>
      <w:kern w:val="0"/>
      <w:szCs w:val="21"/>
    </w:rPr>
  </w:style>
  <w:style w:type="paragraph" w:customStyle="1" w:styleId="114">
    <w:name w:val="列出段落4"/>
    <w:basedOn w:val="1"/>
    <w:uiPriority w:val="99"/>
    <w:pPr>
      <w:spacing w:line="320" w:lineRule="exact"/>
      <w:ind w:left="420" w:firstLine="420" w:firstLineChars="200"/>
    </w:pPr>
    <w:rPr>
      <w:rFonts w:ascii="Calibri" w:hAnsi="Calibri" w:eastAsia="宋体" w:cs="Calibri"/>
      <w:szCs w:val="21"/>
    </w:rPr>
  </w:style>
  <w:style w:type="paragraph" w:customStyle="1" w:styleId="115">
    <w:name w:val="font9"/>
    <w:basedOn w:val="1"/>
    <w:uiPriority w:val="99"/>
    <w:pPr>
      <w:widowControl/>
      <w:spacing w:before="100" w:beforeAutospacing="1" w:after="100" w:afterAutospacing="1"/>
      <w:jc w:val="left"/>
    </w:pPr>
    <w:rPr>
      <w:rFonts w:ascii="Calibri" w:hAnsi="Calibri" w:eastAsia="宋体" w:cs="Times New Roman"/>
      <w:color w:val="000000"/>
      <w:kern w:val="0"/>
      <w:szCs w:val="21"/>
    </w:rPr>
  </w:style>
  <w:style w:type="paragraph" w:customStyle="1" w:styleId="116">
    <w:name w:val="font13"/>
    <w:basedOn w:val="1"/>
    <w:uiPriority w:val="99"/>
    <w:pPr>
      <w:widowControl/>
      <w:spacing w:before="100" w:beforeAutospacing="1" w:after="100" w:afterAutospacing="1"/>
      <w:jc w:val="left"/>
    </w:pPr>
    <w:rPr>
      <w:rFonts w:ascii="宋体" w:hAnsi="宋体" w:eastAsia="宋体" w:cs="宋体"/>
      <w:b/>
      <w:bCs/>
      <w:color w:val="000000"/>
      <w:kern w:val="0"/>
      <w:sz w:val="24"/>
      <w:szCs w:val="24"/>
      <w:u w:val="single"/>
    </w:rPr>
  </w:style>
  <w:style w:type="character" w:customStyle="1" w:styleId="117">
    <w:name w:val="HTML 预设格式 Char1"/>
    <w:basedOn w:val="27"/>
    <w:link w:val="24"/>
    <w:semiHidden/>
    <w:uiPriority w:val="99"/>
    <w:rPr>
      <w:rFonts w:ascii="Courier New" w:hAnsi="Courier New" w:cs="Courier New"/>
      <w:sz w:val="20"/>
      <w:szCs w:val="20"/>
    </w:rPr>
  </w:style>
  <w:style w:type="paragraph" w:customStyle="1" w:styleId="118">
    <w:name w:val="xl83"/>
    <w:basedOn w:val="1"/>
    <w:uiPriority w:val="99"/>
    <w:pPr>
      <w:widowControl/>
      <w:pBdr>
        <w:left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19">
    <w:name w:val="xl93"/>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20">
    <w:name w:val="Default"/>
    <w:uiPriority w:val="99"/>
    <w:pPr>
      <w:widowControl w:val="0"/>
      <w:autoSpaceDE w:val="0"/>
      <w:autoSpaceDN w:val="0"/>
      <w:adjustRightInd w:val="0"/>
      <w:spacing w:line="360" w:lineRule="auto"/>
      <w:ind w:firstLine="200" w:firstLineChars="200"/>
      <w:jc w:val="both"/>
    </w:pPr>
    <w:rPr>
      <w:rFonts w:ascii="Calibri" w:hAnsi="Calibri" w:eastAsia="宋体" w:cs="Times New Roman"/>
      <w:color w:val="000000"/>
      <w:kern w:val="0"/>
      <w:sz w:val="24"/>
      <w:szCs w:val="24"/>
      <w:lang w:val="en-US" w:eastAsia="zh-CN" w:bidi="ar-SA"/>
    </w:rPr>
  </w:style>
  <w:style w:type="paragraph" w:customStyle="1" w:styleId="121">
    <w:name w:val="xl99"/>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22">
    <w:name w:val="xl9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character" w:customStyle="1" w:styleId="123">
    <w:name w:val="标题 Char1"/>
    <w:basedOn w:val="27"/>
    <w:link w:val="26"/>
    <w:uiPriority w:val="10"/>
    <w:rPr>
      <w:rFonts w:eastAsia="宋体" w:asciiTheme="majorHAnsi" w:hAnsiTheme="majorHAnsi" w:cstheme="majorBidi"/>
      <w:b/>
      <w:bCs/>
      <w:sz w:val="32"/>
      <w:szCs w:val="32"/>
    </w:rPr>
  </w:style>
  <w:style w:type="paragraph" w:customStyle="1" w:styleId="124">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25">
    <w:name w:val="xl64"/>
    <w:basedOn w:val="1"/>
    <w:uiPriority w:val="99"/>
    <w:pPr>
      <w:widowControl/>
      <w:spacing w:before="100" w:beforeAutospacing="1" w:after="100" w:afterAutospacing="1"/>
      <w:jc w:val="left"/>
    </w:pPr>
    <w:rPr>
      <w:rFonts w:ascii="Calibri" w:hAnsi="Calibri" w:eastAsia="宋体" w:cs="Times New Roman"/>
      <w:kern w:val="0"/>
      <w:sz w:val="24"/>
      <w:szCs w:val="24"/>
    </w:rPr>
  </w:style>
  <w:style w:type="paragraph" w:customStyle="1" w:styleId="126">
    <w:name w:val="Version/Date"/>
    <w:basedOn w:val="1"/>
    <w:uiPriority w:val="99"/>
    <w:pPr>
      <w:widowControl/>
      <w:tabs>
        <w:tab w:val="left" w:pos="432"/>
      </w:tabs>
      <w:spacing w:line="400" w:lineRule="exact"/>
      <w:jc w:val="right"/>
    </w:pPr>
    <w:rPr>
      <w:rFonts w:ascii="Arial" w:hAnsi="Arial" w:eastAsia="宋体" w:cs="Arial"/>
      <w:kern w:val="0"/>
      <w:sz w:val="32"/>
      <w:szCs w:val="32"/>
      <w:lang w:eastAsia="en-US"/>
    </w:rPr>
  </w:style>
  <w:style w:type="paragraph" w:customStyle="1" w:styleId="127">
    <w:name w:val="xl77"/>
    <w:basedOn w:val="1"/>
    <w:uiPriority w:val="99"/>
    <w:pPr>
      <w:widowControl/>
      <w:spacing w:before="100" w:beforeAutospacing="1" w:after="100" w:afterAutospacing="1"/>
      <w:jc w:val="left"/>
    </w:pPr>
    <w:rPr>
      <w:rFonts w:ascii="Calibri" w:hAnsi="Calibri" w:eastAsia="宋体" w:cs="Times New Roman"/>
      <w:kern w:val="0"/>
      <w:szCs w:val="21"/>
    </w:rPr>
  </w:style>
  <w:style w:type="paragraph" w:customStyle="1" w:styleId="128">
    <w:name w:val="批注框文本1"/>
    <w:basedOn w:val="1"/>
    <w:next w:val="17"/>
    <w:uiPriority w:val="99"/>
    <w:rPr>
      <w:rFonts w:ascii="Calibri" w:hAnsi="Calibri" w:eastAsia="宋体" w:cs="Calibri"/>
      <w:sz w:val="18"/>
      <w:szCs w:val="18"/>
    </w:rPr>
  </w:style>
  <w:style w:type="paragraph" w:customStyle="1" w:styleId="129">
    <w:name w:val="xl66"/>
    <w:basedOn w:val="1"/>
    <w:uiPriority w:val="99"/>
    <w:pPr>
      <w:widowControl/>
      <w:spacing w:before="100" w:beforeAutospacing="1" w:after="100" w:afterAutospacing="1"/>
      <w:jc w:val="left"/>
    </w:pPr>
    <w:rPr>
      <w:rFonts w:ascii="Calibri" w:hAnsi="Calibri" w:eastAsia="宋体" w:cs="Times New Roman"/>
      <w:color w:val="000000"/>
      <w:kern w:val="0"/>
      <w:sz w:val="24"/>
      <w:szCs w:val="24"/>
    </w:rPr>
  </w:style>
  <w:style w:type="paragraph" w:customStyle="1" w:styleId="130">
    <w:name w:val="样式1"/>
    <w:basedOn w:val="1"/>
    <w:uiPriority w:val="99"/>
    <w:rPr>
      <w:rFonts w:ascii="仿宋_GB2312" w:hAnsi="Calibri" w:eastAsia="仿宋_GB2312" w:cs="仿宋_GB2312"/>
      <w:sz w:val="28"/>
      <w:szCs w:val="28"/>
    </w:rPr>
  </w:style>
  <w:style w:type="paragraph" w:customStyle="1" w:styleId="131">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32">
    <w:name w:val="页眉1"/>
    <w:basedOn w:val="1"/>
    <w:next w:val="19"/>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customStyle="1" w:styleId="133">
    <w:name w:val="列出段落1"/>
    <w:basedOn w:val="1"/>
    <w:uiPriority w:val="99"/>
    <w:pPr>
      <w:ind w:firstLine="420"/>
    </w:pPr>
    <w:rPr>
      <w:rFonts w:ascii="Calibri" w:hAnsi="Calibri" w:eastAsia="宋体" w:cs="Times New Roman"/>
      <w:szCs w:val="21"/>
    </w:rPr>
  </w:style>
  <w:style w:type="paragraph" w:customStyle="1" w:styleId="134">
    <w:name w:val="CoverTitleMain"/>
    <w:basedOn w:val="1"/>
    <w:uiPriority w:val="99"/>
    <w:pPr>
      <w:widowControl/>
      <w:tabs>
        <w:tab w:val="left" w:pos="432"/>
      </w:tabs>
      <w:jc w:val="right"/>
    </w:pPr>
    <w:rPr>
      <w:rFonts w:ascii="Arial" w:hAnsi="Arial" w:eastAsia="宋体" w:cs="Arial"/>
      <w:b/>
      <w:bCs/>
      <w:kern w:val="0"/>
      <w:sz w:val="56"/>
      <w:szCs w:val="56"/>
      <w:lang w:eastAsia="en-US"/>
    </w:rPr>
  </w:style>
  <w:style w:type="paragraph" w:customStyle="1" w:styleId="135">
    <w:name w:val="xl85"/>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6">
    <w:name w:val="Cov-Date"/>
    <w:basedOn w:val="1"/>
    <w:uiPriority w:val="99"/>
    <w:pPr>
      <w:widowControl/>
      <w:jc w:val="right"/>
    </w:pPr>
    <w:rPr>
      <w:rFonts w:ascii="Verdana" w:hAnsi="Verdana" w:eastAsia="宋体" w:cs="Verdana"/>
      <w:b/>
      <w:bCs/>
      <w:kern w:val="0"/>
      <w:sz w:val="28"/>
      <w:szCs w:val="28"/>
      <w:lang w:eastAsia="en-US"/>
    </w:rPr>
  </w:style>
  <w:style w:type="paragraph" w:customStyle="1" w:styleId="137">
    <w:name w:val="TOC 标题1"/>
    <w:basedOn w:val="2"/>
    <w:next w:val="1"/>
    <w:uiPriority w:val="99"/>
    <w:pPr>
      <w:spacing w:line="576" w:lineRule="auto"/>
      <w:outlineLvl w:val="9"/>
    </w:pPr>
    <w:rPr>
      <w:rFonts w:eastAsia="仿宋"/>
    </w:rPr>
  </w:style>
  <w:style w:type="paragraph" w:customStyle="1" w:styleId="138">
    <w:name w:val="xl86"/>
    <w:basedOn w:val="1"/>
    <w:uiPriority w:val="99"/>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9">
    <w:name w:val="副标题1"/>
    <w:basedOn w:val="1"/>
    <w:next w:val="1"/>
    <w:uiPriority w:val="99"/>
    <w:pPr>
      <w:spacing w:before="240" w:after="60" w:line="312" w:lineRule="auto"/>
      <w:outlineLvl w:val="1"/>
    </w:pPr>
    <w:rPr>
      <w:rFonts w:ascii="Cambria" w:hAnsi="Cambria" w:eastAsia="楷体_GB2312" w:cs="Cambria"/>
      <w:b/>
      <w:bCs/>
      <w:kern w:val="28"/>
      <w:sz w:val="32"/>
      <w:szCs w:val="32"/>
    </w:rPr>
  </w:style>
  <w:style w:type="paragraph" w:customStyle="1" w:styleId="140">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b/>
      <w:bCs/>
      <w:kern w:val="0"/>
      <w:szCs w:val="21"/>
    </w:rPr>
  </w:style>
  <w:style w:type="paragraph" w:customStyle="1" w:styleId="141">
    <w:name w:val="xl91"/>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42">
    <w:name w:val="页脚1"/>
    <w:basedOn w:val="1"/>
    <w:next w:val="18"/>
    <w:uiPriority w:val="99"/>
    <w:pPr>
      <w:tabs>
        <w:tab w:val="center" w:pos="4153"/>
        <w:tab w:val="right" w:pos="8306"/>
      </w:tabs>
      <w:snapToGrid w:val="0"/>
      <w:jc w:val="left"/>
    </w:pPr>
    <w:rPr>
      <w:rFonts w:ascii="Calibri" w:hAnsi="Calibri" w:eastAsia="宋体" w:cs="Calibri"/>
      <w:sz w:val="18"/>
      <w:szCs w:val="18"/>
    </w:rPr>
  </w:style>
  <w:style w:type="paragraph" w:customStyle="1" w:styleId="143">
    <w:name w:val="xl97"/>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44">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b/>
      <w:bCs/>
      <w:kern w:val="0"/>
      <w:szCs w:val="21"/>
    </w:rPr>
  </w:style>
  <w:style w:type="paragraph" w:customStyle="1" w:styleId="145">
    <w:name w:val="修订1"/>
    <w:semiHidden/>
    <w:uiPriority w:val="99"/>
    <w:pPr>
      <w:spacing w:line="360" w:lineRule="auto"/>
      <w:ind w:firstLine="200" w:firstLineChars="200"/>
      <w:jc w:val="both"/>
    </w:pPr>
    <w:rPr>
      <w:rFonts w:ascii="Calibri" w:hAnsi="Calibri" w:eastAsia="宋体" w:cs="Calibri"/>
      <w:kern w:val="2"/>
      <w:sz w:val="21"/>
      <w:szCs w:val="21"/>
      <w:lang w:val="en-US" w:eastAsia="zh-CN" w:bidi="ar-SA"/>
    </w:rPr>
  </w:style>
  <w:style w:type="paragraph" w:customStyle="1" w:styleId="146">
    <w:name w:val="xl101"/>
    <w:basedOn w:val="1"/>
    <w:uiPriority w:val="99"/>
    <w:pPr>
      <w:widowControl/>
      <w:pBdr>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47">
    <w:name w:val="xl9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8">
    <w:name w:val="_Style 2"/>
    <w:basedOn w:val="1"/>
    <w:uiPriority w:val="0"/>
    <w:rPr>
      <w:rFonts w:ascii="Calibri" w:hAnsi="Calibri" w:eastAsia="宋体" w:cs="Times New Roman"/>
      <w:szCs w:val="24"/>
    </w:rPr>
  </w:style>
  <w:style w:type="paragraph" w:customStyle="1" w:styleId="149">
    <w:name w:val="Revision"/>
    <w:semiHidden/>
    <w:uiPriority w:val="99"/>
    <w:rPr>
      <w:rFonts w:ascii="Calibri" w:hAnsi="Calibri" w:eastAsia="宋体" w:cs="Times New Roman"/>
      <w:kern w:val="2"/>
      <w:sz w:val="21"/>
      <w:szCs w:val="24"/>
      <w:lang w:val="en-US" w:eastAsia="zh-CN" w:bidi="ar-SA"/>
    </w:rPr>
  </w:style>
  <w:style w:type="paragraph" w:customStyle="1" w:styleId="150">
    <w:name w:val="xl98"/>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51">
    <w:name w:val="font5"/>
    <w:basedOn w:val="1"/>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52">
    <w:name w:val="xl89"/>
    <w:basedOn w:val="1"/>
    <w:uiPriority w:val="99"/>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3">
    <w:name w:val="BoxedCallouts"/>
    <w:basedOn w:val="1"/>
    <w:uiPriority w:val="99"/>
    <w:pPr>
      <w:widowControl/>
      <w:pBdr>
        <w:top w:val="single" w:color="auto" w:sz="4" w:space="3"/>
        <w:left w:val="single" w:color="auto" w:sz="4" w:space="4"/>
        <w:bottom w:val="single" w:color="auto" w:sz="4" w:space="3"/>
        <w:right w:val="single" w:color="auto" w:sz="4" w:space="4"/>
      </w:pBdr>
      <w:shd w:val="clear" w:color="auto" w:fill="F2F2F2"/>
      <w:tabs>
        <w:tab w:val="left" w:pos="2700"/>
      </w:tabs>
      <w:spacing w:after="60"/>
      <w:jc w:val="left"/>
    </w:pPr>
    <w:rPr>
      <w:rFonts w:ascii="Arial" w:hAnsi="Arial" w:eastAsia="宋体" w:cs="Arial"/>
      <w:b/>
      <w:bCs/>
      <w:color w:val="FF0000"/>
      <w:kern w:val="0"/>
      <w:sz w:val="18"/>
      <w:szCs w:val="18"/>
    </w:rPr>
  </w:style>
  <w:style w:type="paragraph" w:customStyle="1" w:styleId="154">
    <w:name w:val="xl68"/>
    <w:basedOn w:val="1"/>
    <w:uiPriority w:val="99"/>
    <w:pPr>
      <w:widowControl/>
      <w:spacing w:before="100" w:beforeAutospacing="1" w:after="100" w:afterAutospacing="1"/>
      <w:jc w:val="center"/>
    </w:pPr>
    <w:rPr>
      <w:rFonts w:ascii="Calibri" w:hAnsi="Calibri" w:eastAsia="宋体" w:cs="Times New Roman"/>
      <w:color w:val="000000"/>
      <w:kern w:val="0"/>
      <w:sz w:val="24"/>
      <w:szCs w:val="24"/>
    </w:rPr>
  </w:style>
  <w:style w:type="paragraph" w:customStyle="1" w:styleId="155">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56">
    <w:name w:val="xl8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57">
    <w:name w:val="xl74"/>
    <w:basedOn w:val="1"/>
    <w:uiPriority w:val="99"/>
    <w:pPr>
      <w:widowControl/>
      <w:spacing w:before="100" w:beforeAutospacing="1" w:after="100" w:afterAutospacing="1"/>
      <w:jc w:val="center"/>
    </w:pPr>
    <w:rPr>
      <w:rFonts w:ascii="Calibri" w:hAnsi="Calibri" w:eastAsia="宋体" w:cs="Times New Roman"/>
      <w:kern w:val="0"/>
      <w:szCs w:val="21"/>
    </w:rPr>
  </w:style>
  <w:style w:type="paragraph" w:customStyle="1" w:styleId="158">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styleId="159">
    <w:name w:val="No Spacing"/>
    <w:qFormat/>
    <w:uiPriority w:val="99"/>
    <w:pPr>
      <w:widowControl w:val="0"/>
      <w:spacing w:line="360" w:lineRule="auto"/>
      <w:ind w:firstLine="200" w:firstLineChars="200"/>
      <w:jc w:val="both"/>
    </w:pPr>
    <w:rPr>
      <w:rFonts w:ascii="Calibri" w:hAnsi="Calibri" w:eastAsia="宋体" w:cs="Calibri"/>
      <w:kern w:val="2"/>
      <w:sz w:val="21"/>
      <w:szCs w:val="21"/>
      <w:lang w:val="en-US" w:eastAsia="zh-CN" w:bidi="ar-SA"/>
    </w:rPr>
  </w:style>
  <w:style w:type="paragraph" w:customStyle="1" w:styleId="160">
    <w:name w:val="CM9"/>
    <w:basedOn w:val="1"/>
    <w:next w:val="1"/>
    <w:uiPriority w:val="99"/>
    <w:pPr>
      <w:autoSpaceDE w:val="0"/>
      <w:autoSpaceDN w:val="0"/>
      <w:adjustRightInd w:val="0"/>
      <w:spacing w:after="115"/>
      <w:jc w:val="left"/>
    </w:pPr>
    <w:rPr>
      <w:rFonts w:ascii="方正大黑简体2." w:hAnsi="Calibri" w:eastAsia="方正大黑简体2." w:cs="方正大黑简体2."/>
      <w:kern w:val="0"/>
      <w:sz w:val="24"/>
      <w:szCs w:val="24"/>
    </w:rPr>
  </w:style>
  <w:style w:type="paragraph" w:customStyle="1" w:styleId="161">
    <w:name w:val="font6"/>
    <w:basedOn w:val="1"/>
    <w:uiPriority w:val="99"/>
    <w:pPr>
      <w:widowControl/>
      <w:spacing w:before="100" w:beforeAutospacing="1" w:after="100" w:afterAutospacing="1"/>
      <w:jc w:val="left"/>
    </w:pPr>
    <w:rPr>
      <w:rFonts w:ascii="宋体" w:hAnsi="宋体" w:eastAsia="宋体" w:cs="宋体"/>
      <w:color w:val="000000"/>
      <w:kern w:val="0"/>
      <w:szCs w:val="21"/>
    </w:rPr>
  </w:style>
  <w:style w:type="paragraph" w:customStyle="1" w:styleId="162">
    <w:name w:val="font8"/>
    <w:basedOn w:val="1"/>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163">
    <w:name w:val="xl82"/>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64">
    <w:name w:val="font12"/>
    <w:basedOn w:val="1"/>
    <w:uiPriority w:val="99"/>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65">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66">
    <w:name w:val="默认段落字体 Para Char Char Char Char Char Char Char"/>
    <w:basedOn w:val="1"/>
    <w:uiPriority w:val="0"/>
    <w:rPr>
      <w:rFonts w:ascii="Tahoma" w:hAnsi="Tahoma" w:eastAsia="宋体" w:cs="Times New Roman"/>
      <w:sz w:val="24"/>
      <w:szCs w:val="20"/>
    </w:rPr>
  </w:style>
  <w:style w:type="paragraph" w:customStyle="1" w:styleId="167">
    <w:name w:val="xl80"/>
    <w:basedOn w:val="1"/>
    <w:uiPriority w:val="99"/>
    <w:pPr>
      <w:widowControl/>
      <w:spacing w:before="100" w:beforeAutospacing="1" w:after="100" w:afterAutospacing="1"/>
      <w:jc w:val="left"/>
    </w:pPr>
    <w:rPr>
      <w:rFonts w:ascii="宋体" w:hAnsi="宋体" w:eastAsia="宋体" w:cs="宋体"/>
      <w:kern w:val="0"/>
      <w:szCs w:val="21"/>
    </w:rPr>
  </w:style>
  <w:style w:type="paragraph" w:customStyle="1" w:styleId="168">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69">
    <w:name w:val="xl95"/>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table" w:customStyle="1" w:styleId="170">
    <w:name w:val="浅色列表 - 强调文字颜色 11"/>
    <w:uiPriority w:val="99"/>
    <w:rPr>
      <w:rFonts w:ascii="Calibri" w:hAnsi="Calibri" w:eastAsia="宋体" w:cs="Calibri"/>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style>
  <w:style w:type="table" w:customStyle="1" w:styleId="171">
    <w:name w:val="浅色列表 - 强调文字颜色 12"/>
    <w:uiPriority w:val="99"/>
    <w:rPr>
      <w:rFonts w:ascii="Calibri" w:hAnsi="Calibri" w:eastAsia="宋体" w:cs="Calibri"/>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style>
  <w:style w:type="table" w:customStyle="1" w:styleId="172">
    <w:name w:val="网格型2"/>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3">
    <w:name w:val="浅色列表2"/>
    <w:uiPriority w:val="99"/>
    <w:rPr>
      <w:rFonts w:ascii="Calibri" w:hAnsi="Calibri" w:eastAsia="宋体" w:cs="Calibri"/>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table" w:customStyle="1" w:styleId="174">
    <w:name w:val="浅色列表1"/>
    <w:uiPriority w:val="99"/>
    <w:rPr>
      <w:rFonts w:ascii="Calibri" w:hAnsi="Calibri" w:eastAsia="宋体" w:cs="Calibri"/>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table" w:customStyle="1" w:styleId="175">
    <w:name w:val="网格型1"/>
    <w:uiPriority w:val="99"/>
    <w:rPr>
      <w:rFonts w:ascii="Calibri" w:hAnsi="Calibri" w:eastAsia="宋体" w:cs="Calibri"/>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6">
    <w:name w:val="网格型3"/>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7">
    <w:name w:val="网格型4"/>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BBF89-1E04-48DE-B1E9-3769EA8F5CB6}">
  <ds:schemaRefs/>
</ds:datastoreItem>
</file>

<file path=docProps/app.xml><?xml version="1.0" encoding="utf-8"?>
<Properties xmlns="http://schemas.openxmlformats.org/officeDocument/2006/extended-properties" xmlns:vt="http://schemas.openxmlformats.org/officeDocument/2006/docPropsVTypes">
  <Template>Normal</Template>
  <Pages>37</Pages>
  <Words>3387</Words>
  <Characters>19309</Characters>
  <Lines>160</Lines>
  <Paragraphs>45</Paragraphs>
  <TotalTime>70</TotalTime>
  <ScaleCrop>false</ScaleCrop>
  <LinksUpToDate>false</LinksUpToDate>
  <CharactersWithSpaces>22651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2017-12-06T14:40:00Z</dcterms:created>
  <dc:creator>YC</dc:creator>
  <cp:lastModifiedBy>user</cp:lastModifiedBy>
  <cp:lastPrinted>2018-06-26T09:59:00Z</cp:lastPrinted>
  <dcterms:modified xsi:type="dcterms:W3CDTF">2018-08-01T08:10:08Z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